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黑体" w:cs="Times New Roman"/>
          <w:color w:val="auto"/>
          <w:sz w:val="36"/>
          <w:szCs w:val="36"/>
        </w:rPr>
      </w:pPr>
      <w:r>
        <w:rPr>
          <w:rFonts w:hint="eastAsia" w:ascii="Times New Roman" w:hAnsi="Times New Roman" w:eastAsia="黑体" w:cs="Times New Roman"/>
          <w:color w:val="auto"/>
          <w:sz w:val="36"/>
          <w:szCs w:val="36"/>
        </w:rPr>
        <w:t>黔东南州地方标准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黑体" w:cs="Times New Roman"/>
          <w:color w:val="auto"/>
          <w:sz w:val="36"/>
          <w:szCs w:val="36"/>
        </w:rPr>
      </w:pPr>
      <w:r>
        <w:rPr>
          <w:rFonts w:hint="eastAsia" w:ascii="Times New Roman" w:hAnsi="Times New Roman" w:eastAsia="黑体" w:cs="Times New Roman"/>
          <w:color w:val="auto"/>
          <w:sz w:val="36"/>
          <w:szCs w:val="36"/>
        </w:rPr>
        <w:t>《</w:t>
      </w:r>
      <w:r>
        <w:rPr>
          <w:rFonts w:hint="eastAsia" w:ascii="Times New Roman" w:hAnsi="Times New Roman" w:eastAsia="黑体" w:cs="Times New Roman"/>
          <w:color w:val="auto"/>
          <w:sz w:val="36"/>
          <w:szCs w:val="36"/>
          <w:lang w:eastAsia="zh-CN"/>
        </w:rPr>
        <w:t>养老机构旅居养老服务规范</w:t>
      </w:r>
      <w:r>
        <w:rPr>
          <w:rFonts w:hint="eastAsia" w:ascii="Times New Roman" w:hAnsi="Times New Roman" w:eastAsia="黑体" w:cs="Times New Roman"/>
          <w:color w:val="auto"/>
          <w:sz w:val="36"/>
          <w:szCs w:val="36"/>
        </w:rPr>
        <w:t>》编制说明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（征求意见稿）</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前言</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在老龄化程度日益加深的当下，传统养老模式已难以充分满足老年人对高品质生活的追求，一种融合了旅游、休闲、养生等元素的旅居养老新模式应运而生。它打破了传统养老的地域限制，让老年人在领略各地自然风光与人文风情的同时，享受专业的养老服务与健康关怀。</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贵州黔东南苗族侗族自治州，凭借其独特的优势，成为了发展旅居养老产业的理想之地。这里拥有丰富的自然与人文资源，青山绿水环绕，森林覆盖率高，空气清新宜人，气候温和舒适，冬无严寒，夏无酷暑，是天然的大氧吧和避暑胜地 。是一个多民族聚居的地区，苗族、侗族等少数民族在这里世代繁衍，保存了丰富多彩的民族文化。精美的苗族刺绣、侗族大歌、芦笙舞、传统的建筑风格以及独特的民俗节日，都让这片土地散发着迷人的魅力。这些珍贵的民族文化，不仅为旅居养老提供了独特的文化体验，还能满足老年人对精神文化生活的追求。此外，黔东南州政府高度重视旅居养老产业的发展，积极出台相关政策，加大对养老服务设施的投入，完善交通、医疗等基础设施建设，为旅居养老产业的发展提供了有力的政策支持和保障。在这样的背景下，黔东南州旅居养老项目顺势而生，致力于为老年人打造一个温馨、舒适、富有文化内涵的养老家园 。</w:t>
      </w:r>
    </w:p>
    <w:p>
      <w:pPr>
        <w:keepNext w:val="0"/>
        <w:keepLines w:val="0"/>
        <w:pageBreakBefore w:val="0"/>
        <w:widowControl w:val="0"/>
        <w:numPr>
          <w:ilvl w:val="0"/>
          <w:numId w:val="3"/>
        </w:numPr>
        <w:kinsoku/>
        <w:wordWrap/>
        <w:overflowPunct/>
        <w:topLinePunct w:val="0"/>
        <w:autoSpaceDE/>
        <w:autoSpaceDN/>
        <w:bidi w:val="0"/>
        <w:adjustRightInd/>
        <w:snapToGrid/>
        <w:spacing w:line="460" w:lineRule="exact"/>
        <w:ind w:left="0" w:leftChars="0" w:firstLine="480" w:firstLineChars="200"/>
        <w:textAlignment w:val="auto"/>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项目背景</w:t>
      </w:r>
    </w:p>
    <w:p>
      <w:pPr>
        <w:keepNext w:val="0"/>
        <w:keepLines w:val="0"/>
        <w:pageBreakBefore w:val="0"/>
        <w:numPr>
          <w:ilvl w:val="0"/>
          <w:numId w:val="0"/>
        </w:numPr>
        <w:kinsoku/>
        <w:wordWrap/>
        <w:overflowPunct/>
        <w:topLinePunct w:val="0"/>
        <w:autoSpaceDE/>
        <w:autoSpaceDN/>
        <w:bidi w:val="0"/>
        <w:spacing w:line="460" w:lineRule="exact"/>
        <w:ind w:leftChars="0" w:firstLine="481" w:firstLineChars="200"/>
        <w:jc w:val="both"/>
        <w:rPr>
          <w:rFonts w:hint="eastAsia" w:ascii="楷体" w:hAnsi="楷体" w:eastAsia="楷体"/>
          <w:b/>
          <w:bCs/>
          <w:color w:val="000000"/>
          <w:sz w:val="24"/>
          <w:szCs w:val="24"/>
        </w:rPr>
      </w:pPr>
      <w:r>
        <w:rPr>
          <w:rFonts w:hint="eastAsia" w:ascii="楷体" w:hAnsi="楷体" w:eastAsia="楷体"/>
          <w:b/>
          <w:bCs/>
          <w:color w:val="000000"/>
          <w:sz w:val="24"/>
          <w:szCs w:val="24"/>
          <w:lang w:eastAsia="zh-CN"/>
        </w:rPr>
        <w:t>（一）</w:t>
      </w:r>
      <w:r>
        <w:rPr>
          <w:rFonts w:hint="eastAsia" w:ascii="楷体" w:hAnsi="楷体" w:eastAsia="楷体" w:cs="楷体"/>
          <w:b/>
          <w:bCs/>
          <w:color w:val="auto"/>
          <w:sz w:val="24"/>
          <w:szCs w:val="24"/>
          <w:lang w:eastAsia="zh-CN"/>
        </w:rPr>
        <w:t>相关领域现状</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随着社会老龄化进程的不断推进，中国的养老需求越来越多样化，社会的发展进步一方面让老年人获得了较为丰厚的物质财富，同时也革新了老年人的养老观念。老年人追求的不仅是物质生活上的满足，更多的是精神上的满足；老年人想要的不是“如何养老”，而是“如何更好的养老”。</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正是老年人对“好”的追求，给养老产业发展提出了新的挑战，也带来了新的机遇。在社会化养老的大潮流下，多种养老方式兴起，其中旅居养老尤其受到老年人青睐。为了更好的满足老年人对旅居养老新模式的需求，丰富老年人的养老生活，探索出一条适合我州旅居养老的新模式，促进养老事业和养老产业有序发展，特制定了该服务指南。</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481"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楷体_GB2312" w:hAnsi="楷体_GB2312" w:eastAsia="楷体_GB2312" w:cs="楷体_GB2312"/>
          <w:b/>
          <w:bCs/>
          <w:color w:val="auto"/>
          <w:sz w:val="24"/>
          <w:szCs w:val="24"/>
          <w:lang w:val="en-US" w:eastAsia="zh-CN"/>
        </w:rPr>
        <w:t>（二）</w:t>
      </w:r>
      <w:r>
        <w:rPr>
          <w:rFonts w:hint="eastAsia" w:ascii="楷体_GB2312" w:hAnsi="楷体_GB2312" w:eastAsia="楷体_GB2312" w:cs="楷体_GB2312"/>
          <w:b/>
          <w:bCs/>
          <w:color w:val="auto"/>
          <w:sz w:val="24"/>
          <w:szCs w:val="24"/>
        </w:rPr>
        <w:t>制定地方标准的必要性和意义</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一）满足老龄化社会需求：随着中国快速步入老龄化社会，越来越多的老年人有旅居养老的需求，即在非户籍地或家乡以外的地方居住并享受养老服务。这种需求呼唤高质量、规范化的旅居养老服务，以提升老年人的生活质量和幸福感。</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二）建立标准：由于旅居养老服务行业在发展初期缺乏统一的标准和规范，导致市场上存在产品参差不齐、政策法规不完善、行业秩序混乱及供求信息不对称等问题。制定指南旨在为行业树立标准，促进市场的规范化发展。</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（三）推动服务优质化：指南的制定强调优质服务理念的贯彻，确保旅居养老服务能够持续、健康地发展，满足老年人在健康、休闲、社交、文化等多方面的需求。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（四）保护老年人权益：通过明确服务内容、标准和责任，增强透明度，保障选择旅居养老服务的老年人及其家庭的合法权益，减少消费风险。</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总之本服务指南旨在标准化，规范化管理，以降低运营风险，提升旅居养老服务质量，提高旅居产业整体服务水平，更好地推动旅居养老产业和市场科学、健康的开展。</w:t>
      </w:r>
    </w:p>
    <w:p>
      <w:pPr>
        <w:keepNext w:val="0"/>
        <w:keepLines w:val="0"/>
        <w:pageBreakBefore w:val="0"/>
        <w:widowControl w:val="0"/>
        <w:numPr>
          <w:ilvl w:val="0"/>
          <w:numId w:val="0"/>
        </w:numPr>
        <w:kinsoku/>
        <w:wordWrap/>
        <w:overflowPunct/>
        <w:topLinePunct w:val="0"/>
        <w:autoSpaceDE/>
        <w:autoSpaceDN/>
        <w:bidi w:val="0"/>
        <w:snapToGrid/>
        <w:spacing w:line="460" w:lineRule="exact"/>
        <w:ind w:left="0" w:leftChars="0" w:firstLine="481" w:firstLineChars="200"/>
        <w:textAlignment w:val="auto"/>
        <w:rPr>
          <w:rFonts w:hint="eastAsia" w:ascii="楷体_GB2312" w:hAnsi="楷体_GB2312" w:eastAsia="楷体_GB2312" w:cs="楷体_GB2312"/>
          <w:b/>
          <w:bCs/>
          <w:color w:val="auto"/>
          <w:sz w:val="24"/>
          <w:szCs w:val="24"/>
        </w:rPr>
      </w:pPr>
      <w:r>
        <w:rPr>
          <w:rFonts w:hint="eastAsia" w:ascii="楷体_GB2312" w:hAnsi="楷体_GB2312" w:eastAsia="楷体_GB2312" w:cs="楷体_GB2312"/>
          <w:b/>
          <w:bCs/>
          <w:color w:val="auto"/>
          <w:sz w:val="24"/>
          <w:szCs w:val="24"/>
          <w:lang w:eastAsia="zh-CN"/>
        </w:rPr>
        <w:t>（三）</w:t>
      </w:r>
      <w:r>
        <w:rPr>
          <w:rFonts w:hint="eastAsia" w:ascii="楷体_GB2312" w:hAnsi="楷体_GB2312" w:eastAsia="楷体_GB2312" w:cs="楷体_GB2312"/>
          <w:b/>
          <w:bCs/>
          <w:color w:val="auto"/>
          <w:sz w:val="24"/>
          <w:szCs w:val="24"/>
        </w:rPr>
        <w:t>主要内容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本文件界定了养老机构旅居养老服务的术语和定义，规定了养老机构旅居养老服务基本要求、设施要求、服务内容、服务运营管理、服务人员管理，以及服务评价与改进。</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本文件适用于养老机构接待异地养老机构的老年人开展旅居养老服务。</w:t>
      </w:r>
    </w:p>
    <w:p>
      <w:pPr>
        <w:keepNext w:val="0"/>
        <w:keepLines w:val="0"/>
        <w:pageBreakBefore w:val="0"/>
        <w:widowControl w:val="0"/>
        <w:numPr>
          <w:ilvl w:val="0"/>
          <w:numId w:val="3"/>
        </w:numPr>
        <w:kinsoku/>
        <w:wordWrap/>
        <w:overflowPunct/>
        <w:topLinePunct w:val="0"/>
        <w:autoSpaceDE/>
        <w:autoSpaceDN/>
        <w:bidi w:val="0"/>
        <w:snapToGrid/>
        <w:spacing w:line="460" w:lineRule="exact"/>
        <w:ind w:left="0" w:leftChars="0" w:firstLine="480" w:firstLineChars="200"/>
        <w:textAlignment w:val="auto"/>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lang w:val="en-US" w:eastAsia="zh-CN"/>
        </w:rPr>
        <w:t>工作简况</w:t>
      </w:r>
    </w:p>
    <w:p>
      <w:pPr>
        <w:keepNext w:val="0"/>
        <w:keepLines w:val="0"/>
        <w:pageBreakBefore w:val="0"/>
        <w:widowControl w:val="0"/>
        <w:numPr>
          <w:ilvl w:val="0"/>
          <w:numId w:val="0"/>
        </w:numPr>
        <w:kinsoku/>
        <w:wordWrap/>
        <w:overflowPunct/>
        <w:topLinePunct w:val="0"/>
        <w:autoSpaceDE/>
        <w:autoSpaceDN/>
        <w:bidi w:val="0"/>
        <w:snapToGrid/>
        <w:spacing w:line="460" w:lineRule="exact"/>
        <w:ind w:left="0" w:leftChars="0" w:firstLine="481" w:firstLineChars="200"/>
        <w:textAlignment w:val="auto"/>
        <w:rPr>
          <w:rFonts w:hint="eastAsia" w:asciiTheme="minorEastAsia" w:hAnsiTheme="minorEastAsia" w:eastAsiaTheme="minorEastAsia" w:cstheme="minorEastAsia"/>
          <w:b/>
          <w:bCs/>
          <w:color w:val="auto"/>
          <w:sz w:val="24"/>
          <w:szCs w:val="24"/>
        </w:rPr>
      </w:pPr>
      <w:r>
        <w:rPr>
          <w:rFonts w:hint="eastAsia" w:ascii="楷体_GB2312" w:hAnsi="楷体_GB2312" w:eastAsia="楷体_GB2312" w:cs="楷体_GB2312"/>
          <w:b/>
          <w:bCs/>
          <w:color w:val="auto"/>
          <w:sz w:val="24"/>
          <w:szCs w:val="24"/>
          <w:lang w:val="en-US" w:eastAsia="zh-CN"/>
        </w:rPr>
        <w:t>（一）</w:t>
      </w:r>
      <w:r>
        <w:rPr>
          <w:rFonts w:hint="eastAsia" w:ascii="楷体_GB2312" w:hAnsi="楷体_GB2312" w:eastAsia="楷体_GB2312" w:cs="楷体_GB2312"/>
          <w:b/>
          <w:bCs/>
          <w:color w:val="auto"/>
          <w:sz w:val="24"/>
          <w:szCs w:val="24"/>
        </w:rPr>
        <w:t>任务来源</w:t>
      </w:r>
    </w:p>
    <w:p>
      <w:pPr>
        <w:keepNext w:val="0"/>
        <w:keepLines w:val="0"/>
        <w:pageBreakBefore w:val="0"/>
        <w:kinsoku/>
        <w:wordWrap/>
        <w:overflowPunct/>
        <w:topLinePunct w:val="0"/>
        <w:autoSpaceDE/>
        <w:autoSpaceDN/>
        <w:bidi w:val="0"/>
        <w:spacing w:line="460" w:lineRule="exact"/>
        <w:ind w:left="0" w:leftChars="0" w:firstLine="480" w:firstLineChars="200"/>
        <w:rPr>
          <w:rFonts w:ascii="宋体" w:hAnsi="宋体" w:cs="宋体"/>
          <w:sz w:val="24"/>
          <w:szCs w:val="24"/>
        </w:rPr>
      </w:pPr>
      <w:r>
        <w:rPr>
          <w:rFonts w:hint="eastAsia" w:ascii="宋体" w:hAnsi="宋体" w:cs="宋体"/>
          <w:sz w:val="24"/>
          <w:szCs w:val="24"/>
        </w:rPr>
        <w:t>本文件任务来源于</w:t>
      </w:r>
      <w:r>
        <w:rPr>
          <w:rFonts w:ascii="宋体" w:hAnsi="宋体" w:cs="宋体"/>
          <w:sz w:val="24"/>
          <w:szCs w:val="24"/>
        </w:rPr>
        <w:t>2024</w:t>
      </w:r>
      <w:r>
        <w:rPr>
          <w:rFonts w:hint="eastAsia" w:ascii="宋体" w:hAnsi="宋体" w:cs="宋体"/>
          <w:sz w:val="24"/>
          <w:szCs w:val="24"/>
        </w:rPr>
        <w:t>年</w:t>
      </w:r>
      <w:r>
        <w:rPr>
          <w:rFonts w:hint="eastAsia" w:ascii="宋体" w:hAnsi="宋体" w:cs="宋体"/>
          <w:sz w:val="24"/>
          <w:szCs w:val="24"/>
          <w:lang w:val="en-US" w:eastAsia="zh-CN"/>
        </w:rPr>
        <w:t>9</w:t>
      </w:r>
      <w:r>
        <w:rPr>
          <w:rFonts w:hint="eastAsia" w:ascii="宋体" w:hAnsi="宋体" w:cs="宋体"/>
          <w:sz w:val="24"/>
          <w:szCs w:val="24"/>
        </w:rPr>
        <w:t>月</w:t>
      </w:r>
      <w:r>
        <w:rPr>
          <w:rFonts w:hint="eastAsia" w:ascii="宋体" w:hAnsi="宋体" w:cs="宋体"/>
          <w:sz w:val="24"/>
          <w:szCs w:val="24"/>
          <w:lang w:val="en-US" w:eastAsia="zh-CN"/>
        </w:rPr>
        <w:t>13</w:t>
      </w:r>
      <w:r>
        <w:rPr>
          <w:rFonts w:hint="eastAsia" w:ascii="宋体" w:hAnsi="宋体" w:cs="宋体"/>
          <w:sz w:val="24"/>
          <w:szCs w:val="24"/>
        </w:rPr>
        <w:t>日《省市场监管局关于同意立项制定</w:t>
      </w:r>
      <w:r>
        <w:rPr>
          <w:rFonts w:hint="default" w:ascii="宋体" w:hAnsi="宋体" w:cs="宋体"/>
          <w:sz w:val="24"/>
          <w:szCs w:val="24"/>
          <w:highlight w:val="yellow"/>
          <w:lang w:val="en"/>
        </w:rPr>
        <w:t>&lt;</w:t>
      </w:r>
      <w:r>
        <w:rPr>
          <w:rFonts w:hint="eastAsia" w:ascii="宋体" w:hAnsi="宋体" w:cs="宋体"/>
          <w:sz w:val="24"/>
          <w:szCs w:val="24"/>
        </w:rPr>
        <w:t>养老机构旅居养老服务规范</w:t>
      </w:r>
      <w:r>
        <w:rPr>
          <w:rFonts w:hint="default" w:ascii="宋体" w:hAnsi="宋体" w:cs="宋体"/>
          <w:sz w:val="24"/>
          <w:szCs w:val="24"/>
          <w:lang w:val="en"/>
        </w:rPr>
        <w:t>&gt;</w:t>
      </w:r>
      <w:r>
        <w:rPr>
          <w:rFonts w:hint="eastAsia" w:ascii="宋体" w:hAnsi="宋体" w:cs="宋体"/>
          <w:sz w:val="24"/>
          <w:szCs w:val="24"/>
        </w:rPr>
        <w:t>黔东南州2024年度第二批地方标准项目的批复》</w:t>
      </w:r>
      <w:r>
        <w:rPr>
          <w:rFonts w:hint="eastAsia" w:ascii="宋体" w:hAnsi="宋体" w:cs="宋体"/>
          <w:sz w:val="24"/>
          <w:szCs w:val="24"/>
          <w:lang w:eastAsia="zh-CN"/>
        </w:rPr>
        <w:t>，</w:t>
      </w:r>
      <w:r>
        <w:rPr>
          <w:rFonts w:hint="eastAsia" w:ascii="宋体" w:hAnsi="宋体" w:cs="宋体"/>
          <w:sz w:val="24"/>
          <w:szCs w:val="24"/>
        </w:rPr>
        <w:t>由黔东南州民政局</w:t>
      </w:r>
      <w:r>
        <w:rPr>
          <w:rFonts w:hint="eastAsia" w:hAnsi="宋体"/>
          <w:sz w:val="24"/>
          <w:szCs w:val="24"/>
        </w:rPr>
        <w:t>、黔东南州食品药品检验检测中心</w:t>
      </w:r>
      <w:r>
        <w:rPr>
          <w:rFonts w:hint="eastAsia" w:hAnsi="宋体"/>
          <w:sz w:val="24"/>
          <w:szCs w:val="24"/>
          <w:lang w:eastAsia="zh-CN"/>
        </w:rPr>
        <w:t>、贵州省养老服务行业协会</w:t>
      </w:r>
      <w:r>
        <w:rPr>
          <w:rFonts w:hint="eastAsia" w:ascii="宋体" w:hAnsi="宋体" w:cs="宋体"/>
          <w:sz w:val="24"/>
          <w:szCs w:val="24"/>
        </w:rPr>
        <w:t>等单位负责编制。</w:t>
      </w:r>
    </w:p>
    <w:p>
      <w:pPr>
        <w:pStyle w:val="12"/>
        <w:keepNext w:val="0"/>
        <w:keepLines w:val="0"/>
        <w:pageBreakBefore w:val="0"/>
        <w:numPr>
          <w:ilvl w:val="0"/>
          <w:numId w:val="4"/>
        </w:numPr>
        <w:kinsoku/>
        <w:wordWrap/>
        <w:overflowPunct/>
        <w:topLinePunct w:val="0"/>
        <w:autoSpaceDE/>
        <w:autoSpaceDN/>
        <w:bidi w:val="0"/>
        <w:spacing w:line="460" w:lineRule="exact"/>
        <w:ind w:left="0" w:leftChars="0" w:firstLine="481" w:firstLineChars="200"/>
        <w:rPr>
          <w:rFonts w:hint="eastAsia" w:ascii="楷体_GB2312" w:hAnsi="楷体_GB2312" w:eastAsia="楷体_GB2312" w:cs="楷体_GB2312"/>
          <w:b/>
          <w:bCs/>
          <w:color w:val="auto"/>
          <w:sz w:val="24"/>
          <w:szCs w:val="24"/>
        </w:rPr>
      </w:pPr>
      <w:r>
        <w:rPr>
          <w:rFonts w:hint="eastAsia" w:ascii="楷体_GB2312" w:hAnsi="楷体_GB2312" w:eastAsia="楷体_GB2312" w:cs="楷体_GB2312"/>
          <w:b/>
          <w:bCs/>
          <w:color w:val="auto"/>
          <w:sz w:val="24"/>
          <w:szCs w:val="24"/>
        </w:rPr>
        <w:t>编制过程</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81"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（1）组织起草阶段：</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养老机构旅居养老服务规范》的起草工作于2024年5月13日开始，借助起草前调研养老机构的经历，了解并分析旅居养老机构在运营管理、提供服务等方面存在的问题，针对问题和相关的政策要求、法律法规的规定，依据国家标准和参考其他地方标准，</w:t>
      </w:r>
      <w:r>
        <w:rPr>
          <w:rFonts w:hint="eastAsia" w:ascii="宋体" w:hAnsi="宋体" w:cs="宋体"/>
          <w:color w:val="auto"/>
          <w:sz w:val="24"/>
          <w:szCs w:val="24"/>
          <w:lang w:val="en-US" w:eastAsia="zh-CN"/>
        </w:rPr>
        <w:t>形成本文件征求意见</w:t>
      </w:r>
      <w:r>
        <w:rPr>
          <w:rFonts w:hint="eastAsia" w:ascii="宋体" w:hAnsi="宋体" w:eastAsia="宋体" w:cs="宋体"/>
          <w:color w:val="auto"/>
          <w:sz w:val="24"/>
          <w:szCs w:val="24"/>
          <w:lang w:val="en-US" w:eastAsia="zh-CN"/>
        </w:rPr>
        <w:t>稿。</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81"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（2）征求意见阶段：</w:t>
      </w:r>
    </w:p>
    <w:p>
      <w:pPr>
        <w:keepNext w:val="0"/>
        <w:keepLines w:val="0"/>
        <w:pageBreakBefore w:val="0"/>
        <w:kinsoku/>
        <w:wordWrap/>
        <w:overflowPunct/>
        <w:topLinePunct w:val="0"/>
        <w:autoSpaceDE/>
        <w:autoSpaceDN/>
        <w:bidi w:val="0"/>
        <w:adjustRightInd w:val="0"/>
        <w:spacing w:line="460" w:lineRule="exact"/>
        <w:ind w:leftChars="0" w:firstLine="480" w:firstLineChars="200"/>
        <w:jc w:val="left"/>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2025年3月-4月，定向征求有关单位意见建议，未收到相关意见建议。</w:t>
      </w:r>
    </w:p>
    <w:p>
      <w:pPr>
        <w:keepNext w:val="0"/>
        <w:keepLines w:val="0"/>
        <w:pageBreakBefore w:val="0"/>
        <w:kinsoku/>
        <w:wordWrap/>
        <w:overflowPunct/>
        <w:topLinePunct w:val="0"/>
        <w:autoSpaceDE/>
        <w:autoSpaceDN/>
        <w:bidi w:val="0"/>
        <w:adjustRightInd w:val="0"/>
        <w:spacing w:line="460" w:lineRule="exact"/>
        <w:ind w:left="0" w:leftChars="0" w:firstLine="480" w:firstLineChars="200"/>
        <w:jc w:val="left"/>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2025年</w:t>
      </w: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月</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在黔东南州市场监管局网站上就标准文本和编制说明公开向社会各界征求意见，随后编制组组织人员前往相关企业和有关部门征求意见，结合收集的意见建议，编制组对标准文本作进一步修改</w:t>
      </w:r>
      <w:r>
        <w:rPr>
          <w:rFonts w:hint="eastAsia" w:asciiTheme="minorEastAsia" w:hAnsiTheme="minorEastAsia" w:eastAsiaTheme="minorEastAsia" w:cstheme="minorEastAsia"/>
          <w:sz w:val="24"/>
          <w:szCs w:val="24"/>
        </w:rPr>
        <w:t>、</w:t>
      </w:r>
      <w:r>
        <w:rPr>
          <w:rFonts w:hint="eastAsia" w:ascii="宋体" w:hAnsi="宋体" w:eastAsia="宋体" w:cs="宋体"/>
          <w:color w:val="auto"/>
          <w:sz w:val="24"/>
          <w:szCs w:val="24"/>
          <w:lang w:val="en-US" w:eastAsia="zh-CN"/>
        </w:rPr>
        <w:t>完善，形成《养老机构旅居养老服务规范</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送审稿</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w:t>
      </w:r>
    </w:p>
    <w:p>
      <w:pPr>
        <w:keepNext w:val="0"/>
        <w:keepLines w:val="0"/>
        <w:pageBreakBefore w:val="0"/>
        <w:numPr>
          <w:ilvl w:val="0"/>
          <w:numId w:val="5"/>
        </w:numPr>
        <w:kinsoku/>
        <w:wordWrap/>
        <w:overflowPunct/>
        <w:topLinePunct w:val="0"/>
        <w:autoSpaceDE/>
        <w:autoSpaceDN/>
        <w:bidi w:val="0"/>
        <w:adjustRightInd w:val="0"/>
        <w:spacing w:line="460" w:lineRule="exact"/>
        <w:ind w:left="0" w:leftChars="0" w:firstLine="481" w:firstLineChars="200"/>
        <w:jc w:val="left"/>
        <w:textAlignment w:val="baseline"/>
        <w:rPr>
          <w:rFonts w:hint="eastAsia" w:ascii="宋体" w:hAnsi="宋体" w:cs="宋体"/>
          <w:b/>
          <w:bCs/>
          <w:sz w:val="24"/>
          <w:szCs w:val="24"/>
        </w:rPr>
      </w:pPr>
      <w:r>
        <w:rPr>
          <w:rFonts w:hint="eastAsia" w:ascii="宋体" w:hAnsi="宋体" w:cs="宋体"/>
          <w:b/>
          <w:bCs/>
          <w:sz w:val="24"/>
          <w:szCs w:val="24"/>
        </w:rPr>
        <w:t>审查报批阶段</w:t>
      </w:r>
    </w:p>
    <w:p>
      <w:pPr>
        <w:keepNext w:val="0"/>
        <w:keepLines w:val="0"/>
        <w:pageBreakBefore w:val="0"/>
        <w:kinsoku/>
        <w:wordWrap/>
        <w:overflowPunct/>
        <w:topLinePunct w:val="0"/>
        <w:autoSpaceDE/>
        <w:autoSpaceDN/>
        <w:bidi w:val="0"/>
        <w:spacing w:line="460" w:lineRule="exact"/>
        <w:ind w:left="0" w:leftChars="0" w:firstLine="480" w:firstLineChars="200"/>
        <w:rPr>
          <w:rFonts w:hint="eastAsia" w:ascii="宋体" w:hAnsi="宋体" w:cs="宋体"/>
          <w:sz w:val="24"/>
          <w:szCs w:val="24"/>
        </w:rPr>
      </w:pPr>
      <w:r>
        <w:rPr>
          <w:rFonts w:ascii="宋体" w:hAnsi="宋体" w:cs="宋体"/>
          <w:sz w:val="24"/>
          <w:szCs w:val="24"/>
        </w:rPr>
        <w:t>202</w:t>
      </w:r>
      <w:r>
        <w:rPr>
          <w:rFonts w:hint="eastAsia" w:ascii="宋体" w:hAnsi="宋体" w:cs="宋体"/>
          <w:sz w:val="24"/>
          <w:szCs w:val="24"/>
          <w:lang w:val="en-US" w:eastAsia="zh-CN"/>
        </w:rPr>
        <w:t>5</w:t>
      </w:r>
      <w:r>
        <w:rPr>
          <w:rFonts w:hint="eastAsia" w:ascii="宋体" w:hAnsi="宋体" w:cs="宋体"/>
          <w:sz w:val="24"/>
          <w:szCs w:val="24"/>
        </w:rPr>
        <w:t>年</w:t>
      </w:r>
      <w:r>
        <w:rPr>
          <w:rFonts w:hint="eastAsia" w:ascii="宋体" w:hAnsi="宋体" w:cs="宋体"/>
          <w:sz w:val="24"/>
          <w:szCs w:val="24"/>
          <w:lang w:val="en-US" w:eastAsia="zh-CN"/>
        </w:rPr>
        <w:t>X</w:t>
      </w:r>
      <w:r>
        <w:rPr>
          <w:rFonts w:hint="eastAsia" w:ascii="宋体" w:hAnsi="宋体" w:cs="宋体"/>
          <w:sz w:val="24"/>
          <w:szCs w:val="24"/>
        </w:rPr>
        <w:t>月</w:t>
      </w:r>
      <w:r>
        <w:rPr>
          <w:rFonts w:hint="eastAsia" w:ascii="宋体" w:hAnsi="宋体" w:cs="宋体"/>
          <w:sz w:val="24"/>
          <w:szCs w:val="24"/>
          <w:lang w:val="en-US" w:eastAsia="zh-CN"/>
        </w:rPr>
        <w:t>X</w:t>
      </w:r>
      <w:r>
        <w:rPr>
          <w:rFonts w:hint="eastAsia" w:ascii="宋体" w:hAnsi="宋体" w:cs="宋体"/>
          <w:sz w:val="24"/>
          <w:szCs w:val="24"/>
        </w:rPr>
        <w:t>日，黔东南州市场监管局组织专家对本文件进行技术审查。标准编制组根据专家的提出的意见和建议，进一步修改完善，形成</w:t>
      </w:r>
      <w:r>
        <w:rPr>
          <w:rFonts w:hint="eastAsia" w:ascii="宋体" w:hAnsi="宋体" w:eastAsia="宋体" w:cs="宋体"/>
          <w:color w:val="auto"/>
          <w:sz w:val="24"/>
          <w:szCs w:val="24"/>
          <w:lang w:val="en-US" w:eastAsia="zh-CN"/>
        </w:rPr>
        <w:t>《养老机构旅居养老服务规范》</w:t>
      </w:r>
      <w:r>
        <w:rPr>
          <w:rFonts w:hint="eastAsia" w:ascii="宋体" w:hAnsi="宋体" w:cs="宋体"/>
          <w:sz w:val="24"/>
          <w:szCs w:val="24"/>
        </w:rPr>
        <w:t>文本和编制说明（报批稿）。呈请行业主管部门审核同意后，报黔东南州市场监管局批准发布。</w:t>
      </w:r>
    </w:p>
    <w:p>
      <w:pPr>
        <w:keepNext w:val="0"/>
        <w:keepLines w:val="0"/>
        <w:pageBreakBefore w:val="0"/>
        <w:widowControl w:val="0"/>
        <w:kinsoku/>
        <w:wordWrap/>
        <w:overflowPunct/>
        <w:topLinePunct w:val="0"/>
        <w:autoSpaceDE/>
        <w:autoSpaceDN/>
        <w:bidi w:val="0"/>
        <w:adjustRightInd w:val="0"/>
        <w:snapToGrid/>
        <w:spacing w:line="460" w:lineRule="exact"/>
        <w:ind w:firstLine="481" w:firstLineChars="200"/>
        <w:jc w:val="left"/>
        <w:textAlignment w:val="baseline"/>
        <w:rPr>
          <w:rFonts w:hint="eastAsia" w:ascii="楷体_GB2312" w:hAnsi="楷体_GB2312" w:eastAsia="楷体_GB2312" w:cs="楷体_GB2312"/>
          <w:b/>
          <w:bCs/>
          <w:color w:val="auto"/>
          <w:kern w:val="0"/>
          <w:sz w:val="24"/>
          <w:szCs w:val="24"/>
        </w:rPr>
      </w:pPr>
      <w:r>
        <w:rPr>
          <w:rFonts w:hint="eastAsia" w:ascii="楷体_GB2312" w:hAnsi="楷体_GB2312" w:eastAsia="楷体_GB2312" w:cs="楷体_GB2312"/>
          <w:b/>
          <w:bCs/>
          <w:color w:val="auto"/>
          <w:sz w:val="24"/>
          <w:szCs w:val="24"/>
          <w:lang w:val="en-US" w:eastAsia="zh-CN"/>
        </w:rPr>
        <w:t>（三）</w:t>
      </w:r>
      <w:r>
        <w:rPr>
          <w:rFonts w:hint="eastAsia" w:ascii="楷体_GB2312" w:hAnsi="楷体_GB2312" w:eastAsia="楷体_GB2312" w:cs="楷体_GB2312"/>
          <w:b/>
          <w:bCs/>
          <w:color w:val="auto"/>
          <w:kern w:val="0"/>
          <w:sz w:val="24"/>
          <w:szCs w:val="24"/>
        </w:rPr>
        <w:t>主要起草人及其工作分工</w:t>
      </w:r>
    </w:p>
    <w:p>
      <w:pPr>
        <w:keepNext w:val="0"/>
        <w:keepLines w:val="0"/>
        <w:pageBreakBefore w:val="0"/>
        <w:numPr>
          <w:ilvl w:val="0"/>
          <w:numId w:val="0"/>
        </w:numPr>
        <w:kinsoku/>
        <w:wordWrap/>
        <w:overflowPunct/>
        <w:topLinePunct w:val="0"/>
        <w:bidi w:val="0"/>
        <w:adjustRightInd w:val="0"/>
        <w:spacing w:line="460" w:lineRule="exact"/>
        <w:ind w:left="360" w:leftChars="0"/>
        <w:jc w:val="center"/>
        <w:textAlignment w:val="baseline"/>
        <w:rPr>
          <w:rFonts w:hint="eastAsia" w:asciiTheme="minorEastAsia" w:hAnsiTheme="minorEastAsia" w:eastAsiaTheme="minorEastAsia" w:cstheme="minorEastAsia"/>
          <w:color w:val="auto"/>
          <w:kern w:val="0"/>
          <w:sz w:val="24"/>
          <w:szCs w:val="24"/>
          <w:lang w:eastAsia="zh-CN"/>
        </w:rPr>
      </w:pPr>
      <w:r>
        <w:rPr>
          <w:rFonts w:hint="eastAsia" w:asciiTheme="minorEastAsia" w:hAnsiTheme="minorEastAsia" w:eastAsiaTheme="minorEastAsia" w:cstheme="minorEastAsia"/>
          <w:b/>
          <w:bCs/>
          <w:color w:val="auto"/>
          <w:kern w:val="0"/>
          <w:sz w:val="21"/>
          <w:szCs w:val="21"/>
          <w:lang w:val="en-US" w:eastAsia="zh-CN"/>
        </w:rPr>
        <w:t>表1</w:t>
      </w:r>
      <w:r>
        <w:rPr>
          <w:rFonts w:hint="eastAsia" w:asciiTheme="minorEastAsia" w:hAnsiTheme="minorEastAsia" w:eastAsiaTheme="minorEastAsia" w:cstheme="minorEastAsia"/>
          <w:b/>
          <w:bCs/>
          <w:color w:val="auto"/>
          <w:kern w:val="0"/>
          <w:sz w:val="21"/>
          <w:szCs w:val="21"/>
        </w:rPr>
        <w:t>主要起草人及其分工</w:t>
      </w:r>
      <w:r>
        <w:rPr>
          <w:rFonts w:hint="eastAsia" w:asciiTheme="minorEastAsia" w:hAnsiTheme="minorEastAsia" w:eastAsiaTheme="minorEastAsia" w:cstheme="minorEastAsia"/>
          <w:b/>
          <w:bCs/>
          <w:color w:val="auto"/>
          <w:kern w:val="0"/>
          <w:sz w:val="21"/>
          <w:szCs w:val="21"/>
          <w:lang w:eastAsia="zh-CN"/>
        </w:rPr>
        <w:t>一览表</w:t>
      </w:r>
    </w:p>
    <w:tbl>
      <w:tblPr>
        <w:tblStyle w:val="7"/>
        <w:tblpPr w:leftFromText="180" w:rightFromText="180" w:vertAnchor="text" w:horzAnchor="page" w:tblpX="1960" w:tblpY="49"/>
        <w:tblOverlap w:val="never"/>
        <w:tblW w:w="9057" w:type="dxa"/>
        <w:tblInd w:w="0" w:type="dxa"/>
        <w:tblLayout w:type="fixed"/>
        <w:tblCellMar>
          <w:top w:w="0" w:type="dxa"/>
          <w:left w:w="108" w:type="dxa"/>
          <w:bottom w:w="0" w:type="dxa"/>
          <w:right w:w="108" w:type="dxa"/>
        </w:tblCellMar>
      </w:tblPr>
      <w:tblGrid>
        <w:gridCol w:w="3267"/>
        <w:gridCol w:w="1336"/>
        <w:gridCol w:w="1294"/>
        <w:gridCol w:w="3160"/>
      </w:tblGrid>
      <w:tr>
        <w:tblPrEx>
          <w:tblCellMar>
            <w:top w:w="0" w:type="dxa"/>
            <w:left w:w="108" w:type="dxa"/>
            <w:bottom w:w="0" w:type="dxa"/>
            <w:right w:w="108" w:type="dxa"/>
          </w:tblCellMar>
        </w:tblPrEx>
        <w:trPr>
          <w:trHeight w:val="774" w:hRule="atLeast"/>
          <w:tblHeader/>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主要起草单位</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主要起草</w:t>
            </w: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人员</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职称/职务</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bCs/>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任务分工</w:t>
            </w:r>
          </w:p>
        </w:tc>
      </w:tr>
      <w:tr>
        <w:tblPrEx>
          <w:tblCellMar>
            <w:top w:w="0" w:type="dxa"/>
            <w:left w:w="108" w:type="dxa"/>
            <w:bottom w:w="0" w:type="dxa"/>
            <w:right w:w="108" w:type="dxa"/>
          </w:tblCellMar>
        </w:tblPrEx>
        <w:trPr>
          <w:trHeight w:val="693" w:hRule="atLeast"/>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黔东南州民政局</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color w:val="auto"/>
                <w:lang w:eastAsia="zh-CN"/>
              </w:rPr>
              <w:t>徐秀文</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科长</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项目负责，制定工作计划，产区调研，编制标准文本及编制说明</w:t>
            </w:r>
          </w:p>
        </w:tc>
      </w:tr>
      <w:tr>
        <w:tblPrEx>
          <w:tblCellMar>
            <w:top w:w="0" w:type="dxa"/>
            <w:left w:w="108" w:type="dxa"/>
            <w:bottom w:w="0" w:type="dxa"/>
            <w:right w:w="108" w:type="dxa"/>
          </w:tblCellMar>
        </w:tblPrEx>
        <w:trPr>
          <w:trHeight w:val="708" w:hRule="atLeast"/>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黔东南州民政局</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color w:val="auto"/>
                <w:lang w:eastAsia="zh-CN"/>
              </w:rPr>
              <w:t>文周琴</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副科长</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标准资料收集、负责调研技术以及标准编制</w:t>
            </w:r>
          </w:p>
        </w:tc>
      </w:tr>
      <w:tr>
        <w:tblPrEx>
          <w:tblCellMar>
            <w:top w:w="0" w:type="dxa"/>
            <w:left w:w="108" w:type="dxa"/>
            <w:bottom w:w="0" w:type="dxa"/>
            <w:right w:w="108" w:type="dxa"/>
          </w:tblCellMar>
        </w:tblPrEx>
        <w:trPr>
          <w:trHeight w:val="708" w:hRule="atLeast"/>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hAnsi="宋体"/>
                <w:sz w:val="24"/>
                <w:szCs w:val="24"/>
              </w:rPr>
              <w:t>黔东南州食品药品检验检测中心</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lang w:val="en-US" w:eastAsia="zh-CN"/>
              </w:rPr>
              <w:t>张廷辉</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工程师</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cs="Times New Roman"/>
              </w:rPr>
              <w:t>标准编写、调研以及资料收集</w:t>
            </w:r>
          </w:p>
        </w:tc>
      </w:tr>
      <w:tr>
        <w:tblPrEx>
          <w:tblCellMar>
            <w:top w:w="0" w:type="dxa"/>
            <w:left w:w="108" w:type="dxa"/>
            <w:bottom w:w="0" w:type="dxa"/>
            <w:right w:w="108" w:type="dxa"/>
          </w:tblCellMar>
        </w:tblPrEx>
        <w:trPr>
          <w:trHeight w:val="708" w:hRule="atLeast"/>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黔东南州民政局</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lang w:val="en-US" w:eastAsia="zh-CN"/>
              </w:rPr>
              <w:t>李江湖</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主任</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cs="Times New Roman"/>
              </w:rPr>
              <w:t>标准编写、资料收集</w:t>
            </w:r>
          </w:p>
        </w:tc>
      </w:tr>
      <w:tr>
        <w:tblPrEx>
          <w:tblCellMar>
            <w:top w:w="0" w:type="dxa"/>
            <w:left w:w="108" w:type="dxa"/>
            <w:bottom w:w="0" w:type="dxa"/>
            <w:right w:w="108" w:type="dxa"/>
          </w:tblCellMar>
        </w:tblPrEx>
        <w:trPr>
          <w:trHeight w:val="708" w:hRule="atLeast"/>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color w:val="auto"/>
                <w:lang w:eastAsia="zh-CN"/>
              </w:rPr>
              <w:t>贵州省养老服务行业协会</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lang w:val="en-US" w:eastAsia="zh-CN"/>
              </w:rPr>
              <w:t>李佳欣</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val="0"/>
                <w:bCs w:val="0"/>
                <w:color w:val="auto"/>
                <w:sz w:val="21"/>
                <w:szCs w:val="21"/>
                <w:vertAlign w:val="baseline"/>
                <w:lang w:val="en-US" w:eastAsia="zh-CN"/>
              </w:rPr>
              <w:t>秘书长</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cs="Times New Roman"/>
              </w:rPr>
              <w:t>标准编写、调研以及资料收集</w:t>
            </w:r>
          </w:p>
        </w:tc>
      </w:tr>
      <w:tr>
        <w:tblPrEx>
          <w:tblCellMar>
            <w:top w:w="0" w:type="dxa"/>
            <w:left w:w="108" w:type="dxa"/>
            <w:bottom w:w="0" w:type="dxa"/>
            <w:right w:w="108" w:type="dxa"/>
          </w:tblCellMar>
        </w:tblPrEx>
        <w:trPr>
          <w:trHeight w:val="708" w:hRule="atLeast"/>
        </w:trPr>
        <w:tc>
          <w:tcPr>
            <w:tcW w:w="3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Calibri" w:hAnsi="Calibri" w:eastAsia="宋体" w:cs="Times New Roman"/>
                <w:kern w:val="2"/>
                <w:sz w:val="21"/>
                <w:szCs w:val="21"/>
                <w:lang w:val="en-US" w:eastAsia="zh-CN" w:bidi="ar-SA"/>
              </w:rPr>
            </w:pPr>
            <w:r>
              <w:rPr>
                <w:rFonts w:hint="eastAsia" w:ascii="宋体" w:hAnsi="宋体" w:eastAsia="宋体" w:cs="宋体"/>
                <w:b w:val="0"/>
                <w:bCs/>
                <w:sz w:val="21"/>
                <w:szCs w:val="21"/>
                <w:lang w:val="en-US" w:eastAsia="zh-CN"/>
              </w:rPr>
              <w:t>黔东南州民政局</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Calibri" w:hAnsi="Calibri" w:eastAsia="宋体" w:cs="Times New Roman"/>
                <w:kern w:val="2"/>
                <w:sz w:val="21"/>
                <w:szCs w:val="21"/>
                <w:lang w:val="en-US" w:eastAsia="zh-CN" w:bidi="ar-SA"/>
              </w:rPr>
            </w:pPr>
            <w:r>
              <w:rPr>
                <w:rFonts w:hint="eastAsia" w:ascii="宋体" w:hAnsi="宋体" w:eastAsia="宋体" w:cs="宋体"/>
                <w:b w:val="0"/>
                <w:bCs/>
                <w:sz w:val="21"/>
                <w:szCs w:val="21"/>
                <w:lang w:val="en-US" w:eastAsia="zh-CN"/>
              </w:rPr>
              <w:t>李金芝</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Calibri" w:hAnsi="Calibri" w:eastAsia="宋体" w:cs="Times New Roman"/>
                <w:kern w:val="2"/>
                <w:sz w:val="21"/>
                <w:szCs w:val="21"/>
                <w:lang w:val="en-US" w:eastAsia="zh-CN" w:bidi="ar-SA"/>
              </w:rPr>
            </w:pPr>
            <w:r>
              <w:rPr>
                <w:rFonts w:hint="eastAsia" w:ascii="宋体" w:hAnsi="宋体" w:eastAsia="宋体" w:cs="宋体"/>
                <w:b w:val="0"/>
                <w:bCs/>
                <w:sz w:val="21"/>
                <w:szCs w:val="21"/>
                <w:lang w:val="en-US" w:eastAsia="zh-CN"/>
              </w:rPr>
              <w:t>工作人员</w:t>
            </w:r>
          </w:p>
        </w:tc>
        <w:tc>
          <w:tcPr>
            <w:tcW w:w="31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Calibri" w:hAnsi="Calibri" w:eastAsia="宋体" w:cs="Times New Roman"/>
                <w:kern w:val="2"/>
                <w:sz w:val="21"/>
                <w:szCs w:val="21"/>
                <w:lang w:val="en-US" w:eastAsia="zh-CN" w:bidi="ar-SA"/>
              </w:rPr>
            </w:pPr>
            <w:r>
              <w:rPr>
                <w:rFonts w:hint="eastAsia" w:ascii="宋体" w:hAnsi="宋体" w:eastAsia="宋体" w:cs="宋体"/>
                <w:b w:val="0"/>
                <w:bCs/>
                <w:sz w:val="21"/>
                <w:szCs w:val="21"/>
                <w:lang w:val="en-US" w:eastAsia="zh-CN"/>
              </w:rPr>
              <w:t>协调工作</w:t>
            </w:r>
          </w:p>
        </w:tc>
      </w:tr>
      <w:tr>
        <w:tblPrEx>
          <w:tblCellMar>
            <w:top w:w="0" w:type="dxa"/>
            <w:left w:w="108" w:type="dxa"/>
            <w:bottom w:w="0" w:type="dxa"/>
            <w:right w:w="108" w:type="dxa"/>
          </w:tblCellMar>
        </w:tblPrEx>
        <w:trPr>
          <w:trHeight w:val="708" w:hRule="atLeast"/>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省养老服务行业协会</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蔡斌</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特聘专家</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专家建议</w:t>
            </w:r>
          </w:p>
        </w:tc>
      </w:tr>
      <w:tr>
        <w:tblPrEx>
          <w:tblCellMar>
            <w:top w:w="0" w:type="dxa"/>
            <w:left w:w="108" w:type="dxa"/>
            <w:bottom w:w="0" w:type="dxa"/>
            <w:right w:w="108" w:type="dxa"/>
          </w:tblCellMar>
        </w:tblPrEx>
        <w:trPr>
          <w:trHeight w:val="708" w:hRule="atLeast"/>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省养老服务行业协会</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张秀云</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研究员</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调研资料收集</w:t>
            </w:r>
          </w:p>
        </w:tc>
      </w:tr>
      <w:tr>
        <w:tblPrEx>
          <w:tblCellMar>
            <w:top w:w="0" w:type="dxa"/>
            <w:left w:w="108" w:type="dxa"/>
            <w:bottom w:w="0" w:type="dxa"/>
            <w:right w:w="108" w:type="dxa"/>
          </w:tblCellMar>
        </w:tblPrEx>
        <w:trPr>
          <w:trHeight w:val="708" w:hRule="atLeast"/>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省养老服务行业协会</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潘玉芝</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研究员</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数据采集</w:t>
            </w:r>
          </w:p>
        </w:tc>
      </w:tr>
      <w:tr>
        <w:tblPrEx>
          <w:tblCellMar>
            <w:top w:w="0" w:type="dxa"/>
            <w:left w:w="108" w:type="dxa"/>
            <w:bottom w:w="0" w:type="dxa"/>
            <w:right w:w="108" w:type="dxa"/>
          </w:tblCellMar>
        </w:tblPrEx>
        <w:trPr>
          <w:trHeight w:val="708" w:hRule="atLeast"/>
        </w:trPr>
        <w:tc>
          <w:tcPr>
            <w:tcW w:w="3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省养老服务行业协会</w:t>
            </w:r>
          </w:p>
        </w:tc>
        <w:tc>
          <w:tcPr>
            <w:tcW w:w="13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莫子配</w:t>
            </w:r>
          </w:p>
        </w:tc>
        <w:tc>
          <w:tcPr>
            <w:tcW w:w="12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研究员</w:t>
            </w:r>
          </w:p>
        </w:tc>
        <w:tc>
          <w:tcPr>
            <w:tcW w:w="3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宋体" w:hAnsi="宋体" w:eastAsia="宋体" w:cs="宋体"/>
                <w:b w:val="0"/>
                <w:bCs/>
                <w:sz w:val="21"/>
                <w:szCs w:val="21"/>
                <w:lang w:val="en-US" w:eastAsia="zh-CN"/>
              </w:rPr>
              <w:t>撰稿</w:t>
            </w:r>
          </w:p>
        </w:tc>
      </w:tr>
    </w:tbl>
    <w:p>
      <w:pPr>
        <w:keepNext w:val="0"/>
        <w:keepLines w:val="0"/>
        <w:pageBreakBefore w:val="0"/>
        <w:numPr>
          <w:ilvl w:val="0"/>
          <w:numId w:val="3"/>
        </w:numPr>
        <w:kinsoku/>
        <w:wordWrap/>
        <w:overflowPunct/>
        <w:topLinePunct w:val="0"/>
        <w:autoSpaceDE/>
        <w:autoSpaceDN/>
        <w:bidi w:val="0"/>
        <w:snapToGrid/>
        <w:spacing w:line="460" w:lineRule="exact"/>
        <w:ind w:left="0" w:leftChars="0" w:firstLine="480" w:firstLineChars="200"/>
        <w:rPr>
          <w:rFonts w:hint="eastAsia" w:ascii="黑体" w:hAnsi="黑体" w:eastAsia="黑体" w:cs="黑体"/>
          <w:b w:val="0"/>
          <w:bCs w:val="0"/>
          <w:color w:val="auto"/>
          <w:sz w:val="24"/>
          <w:szCs w:val="24"/>
          <w:lang w:val="en-US" w:eastAsia="zh-CN"/>
        </w:rPr>
      </w:pPr>
      <w:r>
        <w:rPr>
          <w:rFonts w:hint="eastAsia" w:ascii="黑体" w:hAnsi="黑体" w:eastAsia="黑体" w:cs="黑体"/>
          <w:b w:val="0"/>
          <w:bCs w:val="0"/>
          <w:color w:val="auto"/>
          <w:sz w:val="24"/>
          <w:szCs w:val="24"/>
        </w:rPr>
        <w:t>主要条款的说明及确定依据</w:t>
      </w:r>
    </w:p>
    <w:p>
      <w:pPr>
        <w:keepNext w:val="0"/>
        <w:keepLines w:val="0"/>
        <w:pageBreakBefore w:val="0"/>
        <w:kinsoku/>
        <w:wordWrap/>
        <w:overflowPunct/>
        <w:topLinePunct w:val="0"/>
        <w:autoSpaceDE/>
        <w:autoSpaceDN/>
        <w:bidi w:val="0"/>
        <w:adjustRightInd w:val="0"/>
        <w:snapToGrid/>
        <w:spacing w:line="460" w:lineRule="exact"/>
        <w:ind w:left="0" w:firstLine="481" w:firstLineChars="200"/>
        <w:textAlignment w:val="baseline"/>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b/>
          <w:bCs/>
          <w:color w:val="auto"/>
          <w:kern w:val="0"/>
          <w:sz w:val="24"/>
          <w:szCs w:val="24"/>
          <w:lang w:eastAsia="zh-CN"/>
        </w:rPr>
        <w:t>（一）标准主要条款确定依据</w:t>
      </w:r>
    </w:p>
    <w:p>
      <w:pPr>
        <w:pStyle w:val="12"/>
        <w:keepNext w:val="0"/>
        <w:keepLines w:val="0"/>
        <w:pageBreakBefore w:val="0"/>
        <w:kinsoku/>
        <w:wordWrap/>
        <w:overflowPunct/>
        <w:topLinePunct w:val="0"/>
        <w:autoSpaceDE/>
        <w:autoSpaceDN/>
        <w:bidi w:val="0"/>
        <w:snapToGrid/>
        <w:spacing w:line="460" w:lineRule="exact"/>
        <w:ind w:left="0" w:firstLine="480" w:firstLineChars="200"/>
        <w:rPr>
          <w:rFonts w:hint="eastAsia" w:hAnsi="宋体" w:cs="宋体"/>
          <w:kern w:val="2"/>
          <w:sz w:val="24"/>
          <w:szCs w:val="24"/>
        </w:rPr>
      </w:pPr>
      <w:r>
        <w:rPr>
          <w:rFonts w:hint="eastAsia" w:hAnsi="宋体" w:cs="宋体"/>
          <w:sz w:val="24"/>
          <w:szCs w:val="24"/>
        </w:rPr>
        <w:t>1.本文件编制，参照相关文献研究，按照GB/T 1.1-2020《标准化工作导则 第1部分：标准化文件的结构和起草规则》要求进行起草，编制过程参考</w:t>
      </w:r>
      <w:r>
        <w:rPr>
          <w:rFonts w:hint="eastAsia" w:hAnsi="宋体" w:cs="宋体"/>
          <w:sz w:val="24"/>
          <w:szCs w:val="24"/>
          <w:lang w:val="en-US" w:eastAsia="zh-CN"/>
        </w:rPr>
        <w:t>7</w:t>
      </w:r>
      <w:r>
        <w:rPr>
          <w:rFonts w:hint="eastAsia" w:hAnsi="宋体" w:cs="宋体"/>
          <w:sz w:val="24"/>
          <w:szCs w:val="24"/>
        </w:rPr>
        <w:t>个标准。</w:t>
      </w:r>
    </w:p>
    <w:p>
      <w:pPr>
        <w:keepNext w:val="0"/>
        <w:keepLines w:val="0"/>
        <w:pageBreakBefore w:val="0"/>
        <w:widowControl w:val="0"/>
        <w:numPr>
          <w:ilvl w:val="0"/>
          <w:numId w:val="6"/>
        </w:numPr>
        <w:kinsoku/>
        <w:wordWrap/>
        <w:overflowPunct/>
        <w:topLinePunct w:val="0"/>
        <w:autoSpaceDE/>
        <w:autoSpaceDN/>
        <w:bidi w:val="0"/>
        <w:adjustRightInd w:val="0"/>
        <w:snapToGrid/>
        <w:spacing w:line="460" w:lineRule="exact"/>
        <w:ind w:left="0" w:leftChars="0" w:firstLine="481" w:firstLineChars="200"/>
        <w:jc w:val="left"/>
        <w:textAlignment w:val="baseline"/>
        <w:rPr>
          <w:rFonts w:hint="eastAsia" w:asciiTheme="majorEastAsia" w:hAnsiTheme="majorEastAsia" w:eastAsiaTheme="majorEastAsia" w:cstheme="majorEastAsia"/>
          <w:b/>
          <w:bCs/>
          <w:sz w:val="24"/>
          <w:szCs w:val="24"/>
        </w:rPr>
      </w:pPr>
      <w:r>
        <w:rPr>
          <w:rFonts w:hint="eastAsia" w:ascii="楷体_GB2312" w:hAnsi="楷体_GB2312" w:eastAsia="楷体_GB2312" w:cs="楷体_GB2312"/>
          <w:b/>
          <w:bCs/>
          <w:sz w:val="24"/>
          <w:szCs w:val="24"/>
        </w:rPr>
        <w:t>主要修订内容的说明</w:t>
      </w:r>
    </w:p>
    <w:p>
      <w:pPr>
        <w:pStyle w:val="12"/>
        <w:keepNext w:val="0"/>
        <w:keepLines w:val="0"/>
        <w:pageBreakBefore w:val="0"/>
        <w:kinsoku/>
        <w:wordWrap/>
        <w:overflowPunct/>
        <w:topLinePunct w:val="0"/>
        <w:autoSpaceDE/>
        <w:autoSpaceDN/>
        <w:bidi w:val="0"/>
        <w:snapToGrid/>
        <w:spacing w:line="460" w:lineRule="exact"/>
        <w:ind w:left="0" w:firstLine="480" w:firstLineChars="200"/>
        <w:rPr>
          <w:rFonts w:hint="eastAsia" w:hAnsi="宋体" w:cs="宋体"/>
          <w:sz w:val="24"/>
          <w:szCs w:val="24"/>
        </w:rPr>
      </w:pPr>
      <w:r>
        <w:rPr>
          <w:rFonts w:hint="eastAsia" w:hAnsi="宋体" w:cs="宋体"/>
          <w:sz w:val="24"/>
          <w:szCs w:val="24"/>
        </w:rPr>
        <w:t>本文主要条款包括基本要求、设施要求、服务内容、服务运营管理、服务人员管理，以及评价与改进，主要条款确定依据如下：</w:t>
      </w:r>
    </w:p>
    <w:p>
      <w:pPr>
        <w:pStyle w:val="12"/>
        <w:keepNext w:val="0"/>
        <w:keepLines w:val="0"/>
        <w:pageBreakBefore w:val="0"/>
        <w:numPr>
          <w:ilvl w:val="0"/>
          <w:numId w:val="7"/>
        </w:numPr>
        <w:kinsoku/>
        <w:wordWrap/>
        <w:overflowPunct/>
        <w:topLinePunct w:val="0"/>
        <w:autoSpaceDE/>
        <w:autoSpaceDN/>
        <w:bidi w:val="0"/>
        <w:snapToGrid/>
        <w:spacing w:line="460" w:lineRule="exact"/>
        <w:ind w:left="0" w:leftChars="0" w:firstLine="480" w:firstLineChars="200"/>
        <w:jc w:val="both"/>
        <w:rPr>
          <w:rFonts w:hint="default" w:hAnsi="宋体" w:eastAsia="宋体" w:cs="宋体"/>
          <w:sz w:val="24"/>
          <w:szCs w:val="24"/>
          <w:lang w:val="en-US" w:eastAsia="zh-CN"/>
        </w:rPr>
      </w:pPr>
      <w:r>
        <w:rPr>
          <w:rFonts w:hint="eastAsia" w:asciiTheme="minorEastAsia" w:hAnsiTheme="minorEastAsia" w:eastAsiaTheme="minorEastAsia" w:cstheme="minorEastAsia"/>
          <w:color w:val="auto"/>
          <w:sz w:val="24"/>
          <w:szCs w:val="24"/>
          <w:lang w:val="en-US" w:eastAsia="zh-CN"/>
        </w:rPr>
        <w:t>为了更好的满足老年人对养老新模式的需求，丰富老年人的养老生活。</w:t>
      </w:r>
      <w:r>
        <w:rPr>
          <w:rFonts w:hint="eastAsia" w:hAnsi="宋体" w:cs="宋体"/>
          <w:sz w:val="24"/>
          <w:szCs w:val="24"/>
        </w:rPr>
        <w:t>将旅居养老定义为：</w:t>
      </w:r>
      <w:r>
        <w:rPr>
          <w:rFonts w:hint="eastAsia" w:hAnsi="宋体" w:cs="宋体"/>
          <w:sz w:val="24"/>
          <w:szCs w:val="24"/>
          <w:lang w:eastAsia="zh-CN"/>
        </w:rPr>
        <w:t>“</w:t>
      </w:r>
      <w:r>
        <w:rPr>
          <w:rFonts w:hint="eastAsia" w:hAnsi="宋体" w:cs="宋体"/>
          <w:sz w:val="24"/>
          <w:szCs w:val="24"/>
          <w:lang w:val="en-US" w:eastAsia="zh-CN"/>
        </w:rPr>
        <w:t>3.2</w:t>
      </w:r>
      <w:r>
        <w:rPr>
          <w:rFonts w:hint="default" w:hAnsi="宋体" w:eastAsia="宋体" w:cs="宋体"/>
          <w:sz w:val="24"/>
          <w:szCs w:val="24"/>
          <w:lang w:val="en-US" w:eastAsia="zh-CN"/>
        </w:rPr>
        <w:t>是一种新兴的养老模式，融合了旅游与养老的概念，为老年人提供了一种不同于传统居家或机构养老的生活方式</w:t>
      </w:r>
      <w:r>
        <w:rPr>
          <w:rFonts w:hint="eastAsia" w:hAnsi="宋体" w:eastAsia="宋体" w:cs="宋体"/>
          <w:sz w:val="24"/>
          <w:szCs w:val="24"/>
          <w:lang w:val="en-US" w:eastAsia="zh-CN"/>
        </w:rPr>
        <w:t>。</w:t>
      </w:r>
      <w:r>
        <w:rPr>
          <w:rFonts w:hint="eastAsia" w:hAnsi="宋体" w:cs="宋体"/>
          <w:sz w:val="24"/>
          <w:szCs w:val="24"/>
          <w:lang w:eastAsia="zh-CN"/>
        </w:rPr>
        <w:t>”；</w:t>
      </w:r>
      <w:r>
        <w:rPr>
          <w:rFonts w:hint="eastAsia" w:hAnsi="宋体" w:cs="宋体"/>
          <w:sz w:val="24"/>
          <w:szCs w:val="24"/>
        </w:rPr>
        <w:t>将养老机构旅居养老定义为：</w:t>
      </w:r>
      <w:r>
        <w:rPr>
          <w:rFonts w:hint="eastAsia" w:hAnsi="宋体" w:cs="宋体"/>
          <w:sz w:val="24"/>
          <w:szCs w:val="24"/>
          <w:lang w:eastAsia="zh-CN"/>
        </w:rPr>
        <w:t>“</w:t>
      </w:r>
      <w:r>
        <w:rPr>
          <w:rFonts w:hint="eastAsia" w:hAnsi="宋体" w:cs="宋体"/>
          <w:sz w:val="24"/>
          <w:szCs w:val="24"/>
          <w:lang w:val="en-US" w:eastAsia="zh-CN"/>
        </w:rPr>
        <w:t>3.3指养老机构组织老年人到常住地以外的养老机构生活，并提供全日制生活照料服务的养老度假生活模式</w:t>
      </w:r>
      <w:r>
        <w:rPr>
          <w:rFonts w:hint="eastAsia" w:hAnsi="宋体" w:eastAsia="宋体" w:cs="宋体"/>
          <w:sz w:val="24"/>
          <w:szCs w:val="24"/>
          <w:lang w:val="en-US" w:eastAsia="zh-CN"/>
        </w:rPr>
        <w:t>。</w:t>
      </w:r>
      <w:r>
        <w:rPr>
          <w:rFonts w:hint="eastAsia" w:hAnsi="宋体" w:cs="宋体"/>
          <w:sz w:val="24"/>
          <w:szCs w:val="24"/>
          <w:lang w:eastAsia="zh-CN"/>
        </w:rPr>
        <w:t>”</w:t>
      </w:r>
    </w:p>
    <w:p>
      <w:pPr>
        <w:pStyle w:val="12"/>
        <w:keepNext w:val="0"/>
        <w:keepLines w:val="0"/>
        <w:pageBreakBefore w:val="0"/>
        <w:numPr>
          <w:ilvl w:val="0"/>
          <w:numId w:val="7"/>
        </w:numPr>
        <w:kinsoku/>
        <w:wordWrap/>
        <w:overflowPunct/>
        <w:topLinePunct w:val="0"/>
        <w:autoSpaceDE/>
        <w:autoSpaceDN/>
        <w:bidi w:val="0"/>
        <w:snapToGrid/>
        <w:spacing w:line="460" w:lineRule="exact"/>
        <w:ind w:left="0" w:leftChars="0" w:firstLine="480" w:firstLineChars="200"/>
        <w:jc w:val="both"/>
        <w:rPr>
          <w:rFonts w:hint="default" w:hAnsi="宋体" w:eastAsia="宋体" w:cs="宋体"/>
          <w:sz w:val="24"/>
          <w:szCs w:val="24"/>
          <w:lang w:val="en-US" w:eastAsia="zh-CN"/>
        </w:rPr>
      </w:pPr>
      <w:r>
        <w:rPr>
          <w:rFonts w:hint="eastAsia" w:asciiTheme="minorEastAsia" w:hAnsiTheme="minorEastAsia" w:eastAsiaTheme="minorEastAsia" w:cstheme="minorEastAsia"/>
          <w:color w:val="auto"/>
          <w:sz w:val="24"/>
          <w:szCs w:val="24"/>
          <w:lang w:val="en-US" w:eastAsia="zh-CN"/>
        </w:rPr>
        <w:t>为了</w:t>
      </w:r>
      <w:r>
        <w:rPr>
          <w:rFonts w:hint="eastAsia" w:asciiTheme="minorEastAsia" w:hAnsiTheme="minorEastAsia" w:eastAsiaTheme="minorEastAsia" w:cstheme="minorEastAsia"/>
          <w:b w:val="0"/>
          <w:bCs w:val="0"/>
          <w:color w:val="000000"/>
          <w:sz w:val="24"/>
          <w:szCs w:val="24"/>
          <w:lang w:val="en-US" w:eastAsia="zh-CN"/>
        </w:rPr>
        <w:t>确保旅居养老服务能够持续、健康地发展。</w:t>
      </w:r>
      <w:r>
        <w:rPr>
          <w:rFonts w:hint="eastAsia" w:hAnsi="宋体" w:cs="宋体"/>
          <w:sz w:val="24"/>
          <w:szCs w:val="24"/>
        </w:rPr>
        <w:t>编制了</w:t>
      </w:r>
      <w:r>
        <w:rPr>
          <w:rFonts w:hint="eastAsia" w:hAnsi="宋体" w:cs="宋体"/>
          <w:sz w:val="24"/>
          <w:szCs w:val="24"/>
          <w:lang w:val="en-US" w:eastAsia="zh-CN"/>
        </w:rPr>
        <w:t>第</w:t>
      </w:r>
      <w:r>
        <w:rPr>
          <w:rFonts w:hint="eastAsia" w:hAnsi="宋体" w:cs="宋体"/>
          <w:sz w:val="24"/>
          <w:szCs w:val="24"/>
        </w:rPr>
        <w:t>4条款</w:t>
      </w:r>
      <w:r>
        <w:rPr>
          <w:rFonts w:hint="eastAsia" w:hAnsi="宋体" w:cs="宋体"/>
          <w:sz w:val="24"/>
          <w:szCs w:val="24"/>
          <w:lang w:eastAsia="zh-CN"/>
        </w:rPr>
        <w:t>“</w:t>
      </w:r>
      <w:r>
        <w:rPr>
          <w:rFonts w:hint="eastAsia"/>
          <w:lang w:val="en-US" w:eastAsia="zh-CN"/>
        </w:rPr>
        <w:t>基本要求</w:t>
      </w:r>
      <w:r>
        <w:rPr>
          <w:rFonts w:hint="eastAsia" w:hAnsi="宋体" w:cs="宋体"/>
          <w:sz w:val="24"/>
          <w:szCs w:val="24"/>
          <w:lang w:eastAsia="zh-CN"/>
        </w:rPr>
        <w:t>”。</w:t>
      </w:r>
    </w:p>
    <w:p>
      <w:pPr>
        <w:pStyle w:val="12"/>
        <w:keepNext w:val="0"/>
        <w:keepLines w:val="0"/>
        <w:pageBreakBefore w:val="0"/>
        <w:numPr>
          <w:ilvl w:val="0"/>
          <w:numId w:val="7"/>
        </w:numPr>
        <w:kinsoku/>
        <w:wordWrap/>
        <w:overflowPunct/>
        <w:topLinePunct w:val="0"/>
        <w:autoSpaceDE/>
        <w:autoSpaceDN/>
        <w:bidi w:val="0"/>
        <w:snapToGrid/>
        <w:spacing w:line="460" w:lineRule="exact"/>
        <w:ind w:left="0" w:leftChars="0" w:firstLine="480" w:firstLineChars="200"/>
        <w:jc w:val="both"/>
        <w:rPr>
          <w:rFonts w:hint="default" w:hAnsi="宋体" w:eastAsia="宋体" w:cs="宋体"/>
          <w:sz w:val="24"/>
          <w:szCs w:val="24"/>
          <w:lang w:val="en-US" w:eastAsia="zh-CN"/>
        </w:rPr>
      </w:pPr>
      <w:r>
        <w:rPr>
          <w:rFonts w:hint="eastAsia" w:hAnsi="宋体" w:cs="宋体"/>
          <w:sz w:val="24"/>
          <w:szCs w:val="24"/>
        </w:rPr>
        <w:t>养老机构旅居养老</w:t>
      </w:r>
      <w:r>
        <w:rPr>
          <w:rFonts w:hint="eastAsia" w:hAnsi="宋体" w:cs="宋体"/>
          <w:sz w:val="24"/>
          <w:szCs w:val="24"/>
          <w:lang w:val="en-US" w:eastAsia="zh-CN"/>
        </w:rPr>
        <w:t>需配备相应设施更好的为老年人服务，特编制了第5条款“设施要求”。</w:t>
      </w:r>
    </w:p>
    <w:p>
      <w:pPr>
        <w:pStyle w:val="12"/>
        <w:keepNext w:val="0"/>
        <w:keepLines w:val="0"/>
        <w:pageBreakBefore w:val="0"/>
        <w:numPr>
          <w:ilvl w:val="0"/>
          <w:numId w:val="7"/>
        </w:numPr>
        <w:kinsoku/>
        <w:wordWrap/>
        <w:overflowPunct/>
        <w:topLinePunct w:val="0"/>
        <w:autoSpaceDE/>
        <w:autoSpaceDN/>
        <w:bidi w:val="0"/>
        <w:snapToGrid/>
        <w:spacing w:line="460" w:lineRule="exact"/>
        <w:ind w:left="0" w:leftChars="0" w:firstLine="480" w:firstLineChars="200"/>
        <w:jc w:val="both"/>
        <w:rPr>
          <w:rFonts w:hint="default" w:hAnsi="宋体" w:eastAsia="宋体" w:cs="宋体"/>
          <w:sz w:val="24"/>
          <w:szCs w:val="24"/>
          <w:lang w:val="en-US" w:eastAsia="zh-CN"/>
        </w:rPr>
      </w:pPr>
      <w:r>
        <w:rPr>
          <w:rFonts w:hint="eastAsia" w:asciiTheme="minorEastAsia" w:hAnsiTheme="minorEastAsia" w:eastAsiaTheme="minorEastAsia" w:cstheme="minorEastAsia"/>
          <w:color w:val="auto"/>
          <w:sz w:val="24"/>
          <w:szCs w:val="24"/>
          <w:lang w:val="en-US" w:eastAsia="zh-CN"/>
        </w:rPr>
        <w:t>为了体现照顾老年人的日常生活。</w:t>
      </w:r>
      <w:r>
        <w:rPr>
          <w:rFonts w:hint="eastAsia" w:hAnsi="宋体" w:cs="宋体"/>
          <w:sz w:val="24"/>
          <w:szCs w:val="24"/>
          <w:lang w:val="en-US" w:eastAsia="zh-CN"/>
        </w:rPr>
        <w:t>特编制了第6.1条款“生活基本服务”。</w:t>
      </w:r>
    </w:p>
    <w:p>
      <w:pPr>
        <w:pStyle w:val="12"/>
        <w:keepNext w:val="0"/>
        <w:keepLines w:val="0"/>
        <w:pageBreakBefore w:val="0"/>
        <w:numPr>
          <w:ilvl w:val="0"/>
          <w:numId w:val="7"/>
        </w:numPr>
        <w:kinsoku/>
        <w:wordWrap/>
        <w:overflowPunct/>
        <w:topLinePunct w:val="0"/>
        <w:autoSpaceDE/>
        <w:autoSpaceDN/>
        <w:bidi w:val="0"/>
        <w:snapToGrid/>
        <w:spacing w:line="460" w:lineRule="exact"/>
        <w:ind w:left="0" w:leftChars="0" w:firstLine="480" w:firstLineChars="200"/>
        <w:jc w:val="both"/>
        <w:rPr>
          <w:rFonts w:hint="default" w:hAnsi="宋体" w:eastAsia="宋体" w:cs="宋体"/>
          <w:sz w:val="24"/>
          <w:szCs w:val="24"/>
          <w:lang w:val="en-US" w:eastAsia="zh-CN"/>
        </w:rPr>
      </w:pPr>
      <w:r>
        <w:rPr>
          <w:rFonts w:hint="eastAsia" w:asciiTheme="minorEastAsia" w:hAnsiTheme="minorEastAsia" w:eastAsiaTheme="minorEastAsia" w:cstheme="minorEastAsia"/>
          <w:color w:val="auto"/>
          <w:sz w:val="24"/>
          <w:szCs w:val="24"/>
          <w:lang w:val="en-US" w:eastAsia="zh-CN"/>
        </w:rPr>
        <w:t>为了使老年人享受专业的养老服务与健康关怀。</w:t>
      </w:r>
      <w:r>
        <w:rPr>
          <w:rFonts w:hint="eastAsia" w:hAnsi="宋体" w:cs="宋体"/>
          <w:sz w:val="24"/>
          <w:szCs w:val="24"/>
          <w:lang w:val="en-US" w:eastAsia="zh-CN"/>
        </w:rPr>
        <w:t>特编制了第6.2条款“健康管理服务”。</w:t>
      </w:r>
    </w:p>
    <w:p>
      <w:pPr>
        <w:pStyle w:val="12"/>
        <w:keepNext w:val="0"/>
        <w:keepLines w:val="0"/>
        <w:pageBreakBefore w:val="0"/>
        <w:numPr>
          <w:ilvl w:val="0"/>
          <w:numId w:val="7"/>
        </w:numPr>
        <w:kinsoku/>
        <w:wordWrap/>
        <w:overflowPunct/>
        <w:topLinePunct w:val="0"/>
        <w:autoSpaceDE/>
        <w:autoSpaceDN/>
        <w:bidi w:val="0"/>
        <w:snapToGrid/>
        <w:spacing w:line="460" w:lineRule="exact"/>
        <w:ind w:left="0" w:leftChars="0" w:firstLine="480" w:firstLineChars="200"/>
        <w:jc w:val="both"/>
        <w:rPr>
          <w:rFonts w:hint="default" w:hAnsi="宋体" w:eastAsia="宋体" w:cs="宋体"/>
          <w:sz w:val="24"/>
          <w:szCs w:val="24"/>
          <w:lang w:val="en-US" w:eastAsia="zh-CN"/>
        </w:rPr>
      </w:pPr>
      <w:r>
        <w:rPr>
          <w:rFonts w:hint="eastAsia" w:asciiTheme="minorEastAsia" w:hAnsiTheme="minorEastAsia" w:eastAsiaTheme="minorEastAsia" w:cstheme="minorEastAsia"/>
          <w:color w:val="auto"/>
          <w:sz w:val="24"/>
          <w:szCs w:val="24"/>
          <w:lang w:val="en-US" w:eastAsia="zh-CN"/>
        </w:rPr>
        <w:t>为了区别于传统养老模式，凸显出旅游、休闲元素，让老年人能领略各地自然风光与人文风情。</w:t>
      </w:r>
      <w:r>
        <w:rPr>
          <w:rFonts w:hint="eastAsia" w:hAnsi="宋体" w:cs="宋体"/>
          <w:sz w:val="24"/>
          <w:szCs w:val="24"/>
          <w:lang w:val="en-US" w:eastAsia="zh-CN"/>
        </w:rPr>
        <w:t>特编制了第6.3条款“文旅休闲服务”。</w:t>
      </w:r>
    </w:p>
    <w:p>
      <w:pPr>
        <w:pStyle w:val="12"/>
        <w:keepNext w:val="0"/>
        <w:keepLines w:val="0"/>
        <w:pageBreakBefore w:val="0"/>
        <w:numPr>
          <w:ilvl w:val="0"/>
          <w:numId w:val="7"/>
        </w:numPr>
        <w:kinsoku/>
        <w:wordWrap/>
        <w:overflowPunct/>
        <w:topLinePunct w:val="0"/>
        <w:autoSpaceDE/>
        <w:autoSpaceDN/>
        <w:bidi w:val="0"/>
        <w:snapToGrid/>
        <w:spacing w:line="460" w:lineRule="exact"/>
        <w:ind w:left="0" w:leftChars="0" w:firstLine="480" w:firstLineChars="200"/>
        <w:jc w:val="both"/>
        <w:rPr>
          <w:rFonts w:hint="default" w:hAnsi="宋体" w:eastAsia="宋体" w:cs="宋体"/>
          <w:sz w:val="24"/>
          <w:szCs w:val="24"/>
          <w:lang w:val="en-US" w:eastAsia="zh-CN"/>
        </w:rPr>
      </w:pPr>
      <w:r>
        <w:rPr>
          <w:rFonts w:hint="eastAsia" w:asciiTheme="minorEastAsia" w:hAnsiTheme="minorEastAsia" w:eastAsiaTheme="minorEastAsia" w:cstheme="minorEastAsia"/>
          <w:color w:val="auto"/>
          <w:sz w:val="24"/>
          <w:szCs w:val="24"/>
          <w:lang w:val="en-US" w:eastAsia="zh-CN"/>
        </w:rPr>
        <w:t>因面对群体为老年人，为了提供预防、保健、康复、医疗等方面保障。</w:t>
      </w:r>
      <w:r>
        <w:rPr>
          <w:rFonts w:hint="eastAsia" w:hAnsi="宋体" w:cs="宋体"/>
          <w:sz w:val="24"/>
          <w:szCs w:val="24"/>
          <w:lang w:val="en-US" w:eastAsia="zh-CN"/>
        </w:rPr>
        <w:t>特编制了第6.4条款“医疗保障服务”。</w:t>
      </w:r>
    </w:p>
    <w:p>
      <w:pPr>
        <w:pStyle w:val="12"/>
        <w:keepNext w:val="0"/>
        <w:keepLines w:val="0"/>
        <w:pageBreakBefore w:val="0"/>
        <w:numPr>
          <w:ilvl w:val="0"/>
          <w:numId w:val="7"/>
        </w:numPr>
        <w:kinsoku/>
        <w:wordWrap/>
        <w:overflowPunct/>
        <w:topLinePunct w:val="0"/>
        <w:autoSpaceDE/>
        <w:autoSpaceDN/>
        <w:bidi w:val="0"/>
        <w:snapToGrid/>
        <w:spacing w:line="460" w:lineRule="exact"/>
        <w:ind w:left="0" w:leftChars="0" w:firstLine="480" w:firstLineChars="200"/>
        <w:jc w:val="both"/>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为了体现出黔东南民族区域优势“歌舞之州、百节之乡、民间文化艺术之乡、苗族侗族文化遗产保留核心地、民族文化生态博物馆”等和黔东南州苗侗医药资源及苗药、瑶浴特色优势。特编制了第6.5条款“特色康养服务”。</w:t>
      </w:r>
    </w:p>
    <w:p>
      <w:pPr>
        <w:pStyle w:val="12"/>
        <w:keepNext w:val="0"/>
        <w:keepLines w:val="0"/>
        <w:pageBreakBefore w:val="0"/>
        <w:numPr>
          <w:ilvl w:val="0"/>
          <w:numId w:val="7"/>
        </w:numPr>
        <w:kinsoku/>
        <w:wordWrap/>
        <w:overflowPunct/>
        <w:topLinePunct w:val="0"/>
        <w:autoSpaceDE/>
        <w:autoSpaceDN/>
        <w:bidi w:val="0"/>
        <w:snapToGrid/>
        <w:spacing w:line="460" w:lineRule="exact"/>
        <w:ind w:left="0" w:leftChars="0" w:firstLine="480" w:firstLineChars="200"/>
        <w:jc w:val="both"/>
        <w:rPr>
          <w:rFonts w:hint="default" w:hAnsi="宋体" w:eastAsia="宋体" w:cs="宋体"/>
          <w:sz w:val="24"/>
          <w:szCs w:val="24"/>
          <w:lang w:val="en-US" w:eastAsia="zh-CN"/>
        </w:rPr>
      </w:pPr>
      <w:r>
        <w:rPr>
          <w:rFonts w:hint="eastAsia" w:asciiTheme="minorEastAsia" w:hAnsiTheme="minorEastAsia" w:eastAsiaTheme="minorEastAsia" w:cstheme="minorEastAsia"/>
          <w:color w:val="auto"/>
          <w:sz w:val="24"/>
          <w:szCs w:val="24"/>
          <w:lang w:val="en-US" w:eastAsia="zh-CN"/>
        </w:rPr>
        <w:t>为了</w:t>
      </w:r>
      <w:r>
        <w:rPr>
          <w:rFonts w:hint="eastAsia" w:hAnsi="宋体" w:cs="宋体"/>
          <w:sz w:val="24"/>
          <w:szCs w:val="24"/>
        </w:rPr>
        <w:t>旅居养老</w:t>
      </w:r>
      <w:r>
        <w:rPr>
          <w:rFonts w:hint="eastAsia" w:hAnsi="宋体" w:cs="宋体"/>
          <w:sz w:val="24"/>
          <w:szCs w:val="24"/>
          <w:lang w:val="en-US" w:eastAsia="zh-CN"/>
        </w:rPr>
        <w:t>机构</w:t>
      </w:r>
      <w:r>
        <w:rPr>
          <w:rFonts w:hint="eastAsia" w:asciiTheme="minorEastAsia" w:hAnsiTheme="minorEastAsia" w:eastAsiaTheme="minorEastAsia" w:cstheme="minorEastAsia"/>
          <w:color w:val="auto"/>
          <w:sz w:val="24"/>
          <w:szCs w:val="24"/>
          <w:lang w:val="en-US" w:eastAsia="zh-CN"/>
        </w:rPr>
        <w:t>规范化管理，</w:t>
      </w:r>
      <w:r>
        <w:rPr>
          <w:rFonts w:hint="eastAsia" w:hAnsi="宋体" w:cs="宋体"/>
          <w:sz w:val="24"/>
          <w:szCs w:val="24"/>
          <w:lang w:val="en-US" w:eastAsia="zh-CN"/>
        </w:rPr>
        <w:t>特编制了第7条款“服务运营管理”。</w:t>
      </w:r>
    </w:p>
    <w:p>
      <w:pPr>
        <w:pStyle w:val="12"/>
        <w:keepNext w:val="0"/>
        <w:keepLines w:val="0"/>
        <w:pageBreakBefore w:val="0"/>
        <w:numPr>
          <w:ilvl w:val="0"/>
          <w:numId w:val="0"/>
        </w:numPr>
        <w:kinsoku/>
        <w:wordWrap/>
        <w:overflowPunct/>
        <w:topLinePunct w:val="0"/>
        <w:autoSpaceDE/>
        <w:autoSpaceDN/>
        <w:bidi w:val="0"/>
        <w:snapToGrid/>
        <w:spacing w:line="460" w:lineRule="exact"/>
        <w:ind w:left="0" w:firstLine="480" w:firstLineChars="200"/>
        <w:jc w:val="both"/>
        <w:rPr>
          <w:rFonts w:hint="default" w:hAnsi="宋体" w:eastAsia="宋体" w:cs="宋体"/>
          <w:sz w:val="24"/>
          <w:szCs w:val="24"/>
          <w:lang w:val="en-US" w:eastAsia="zh-CN"/>
        </w:rPr>
      </w:pPr>
      <w:r>
        <w:rPr>
          <w:rFonts w:hint="eastAsia" w:hAnsi="宋体" w:cs="宋体"/>
          <w:sz w:val="24"/>
          <w:szCs w:val="24"/>
          <w:lang w:val="en-US" w:eastAsia="zh-CN"/>
        </w:rPr>
        <w:t>（10）</w:t>
      </w:r>
      <w:r>
        <w:rPr>
          <w:rFonts w:hint="default" w:hAnsi="宋体" w:eastAsia="宋体" w:cs="宋体"/>
          <w:sz w:val="24"/>
          <w:szCs w:val="24"/>
          <w:lang w:val="en-US" w:eastAsia="zh-CN"/>
        </w:rPr>
        <w:t>为了明确服务人员岗位职责，确保服务流程规范</w:t>
      </w:r>
      <w:r>
        <w:rPr>
          <w:rFonts w:hint="eastAsia" w:hAnsi="宋体" w:cs="宋体"/>
          <w:sz w:val="24"/>
          <w:szCs w:val="24"/>
          <w:lang w:val="en-US" w:eastAsia="zh-CN"/>
        </w:rPr>
        <w:t>，特编制了第8条款“服务人员管理 ”。</w:t>
      </w:r>
    </w:p>
    <w:p>
      <w:pPr>
        <w:pStyle w:val="12"/>
        <w:keepNext w:val="0"/>
        <w:keepLines w:val="0"/>
        <w:pageBreakBefore w:val="0"/>
        <w:numPr>
          <w:ilvl w:val="0"/>
          <w:numId w:val="0"/>
        </w:numPr>
        <w:kinsoku/>
        <w:wordWrap/>
        <w:overflowPunct/>
        <w:topLinePunct w:val="0"/>
        <w:autoSpaceDE/>
        <w:autoSpaceDN/>
        <w:bidi w:val="0"/>
        <w:snapToGrid/>
        <w:spacing w:line="460" w:lineRule="exact"/>
        <w:ind w:left="0" w:firstLine="480" w:firstLineChars="200"/>
        <w:jc w:val="both"/>
        <w:rPr>
          <w:rFonts w:hint="eastAsia"/>
        </w:rPr>
      </w:pPr>
      <w:r>
        <w:rPr>
          <w:rFonts w:hint="eastAsia" w:hAnsi="宋体" w:cs="宋体"/>
          <w:sz w:val="24"/>
          <w:szCs w:val="24"/>
          <w:lang w:eastAsia="zh-CN"/>
        </w:rPr>
        <w:t>（</w:t>
      </w:r>
      <w:r>
        <w:rPr>
          <w:rFonts w:hint="eastAsia" w:hAnsi="宋体" w:cs="宋体"/>
          <w:sz w:val="24"/>
          <w:szCs w:val="24"/>
          <w:lang w:val="en-US" w:eastAsia="zh-CN"/>
        </w:rPr>
        <w:t>11</w:t>
      </w:r>
      <w:r>
        <w:rPr>
          <w:rFonts w:hint="eastAsia" w:hAnsi="宋体" w:cs="宋体"/>
          <w:sz w:val="24"/>
          <w:szCs w:val="24"/>
          <w:lang w:eastAsia="zh-CN"/>
        </w:rPr>
        <w:t>）</w:t>
      </w:r>
      <w:r>
        <w:rPr>
          <w:rFonts w:hint="default" w:hAnsi="宋体" w:eastAsia="宋体" w:cs="宋体"/>
          <w:sz w:val="24"/>
          <w:szCs w:val="24"/>
          <w:lang w:val="en-US" w:eastAsia="zh-CN"/>
        </w:rPr>
        <w:t>为</w:t>
      </w:r>
      <w:r>
        <w:rPr>
          <w:rFonts w:hint="eastAsia" w:hAnsi="宋体" w:eastAsia="宋体" w:cs="宋体"/>
          <w:sz w:val="24"/>
          <w:szCs w:val="24"/>
          <w:lang w:val="en-US" w:eastAsia="zh-CN"/>
        </w:rPr>
        <w:t>不断提升旅居养老机构的服务水平，特编制第9</w:t>
      </w:r>
      <w:r>
        <w:rPr>
          <w:rFonts w:hint="eastAsia" w:hAnsi="宋体" w:cs="宋体"/>
          <w:sz w:val="24"/>
          <w:szCs w:val="24"/>
          <w:lang w:val="en-US" w:eastAsia="zh-CN"/>
        </w:rPr>
        <w:t>条款“评价与改进”。</w:t>
      </w:r>
    </w:p>
    <w:p>
      <w:pPr>
        <w:pStyle w:val="5"/>
        <w:keepNext w:val="0"/>
        <w:keepLines w:val="0"/>
        <w:pageBreakBefore w:val="0"/>
        <w:numPr>
          <w:ilvl w:val="0"/>
          <w:numId w:val="8"/>
        </w:numPr>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rPr>
        <w:t>主要验证分析</w:t>
      </w:r>
      <w:r>
        <w:rPr>
          <w:rFonts w:hint="eastAsia" w:ascii="黑体" w:hAnsi="黑体" w:eastAsia="黑体" w:cs="黑体"/>
          <w:b w:val="0"/>
          <w:bCs w:val="0"/>
          <w:sz w:val="24"/>
          <w:szCs w:val="24"/>
        </w:rPr>
        <w:t>、综述</w:t>
      </w:r>
      <w:r>
        <w:rPr>
          <w:rFonts w:hint="eastAsia" w:ascii="黑体" w:hAnsi="黑体" w:eastAsia="黑体" w:cs="黑体"/>
          <w:b w:val="0"/>
          <w:bCs w:val="0"/>
          <w:kern w:val="2"/>
          <w:sz w:val="24"/>
          <w:szCs w:val="24"/>
        </w:rPr>
        <w:t xml:space="preserve"> </w:t>
      </w:r>
    </w:p>
    <w:p>
      <w:pPr>
        <w:pStyle w:val="12"/>
        <w:keepNext w:val="0"/>
        <w:keepLines w:val="0"/>
        <w:pageBreakBefore w:val="0"/>
        <w:kinsoku/>
        <w:wordWrap/>
        <w:overflowPunct/>
        <w:topLinePunct w:val="0"/>
        <w:autoSpaceDE/>
        <w:autoSpaceDN/>
        <w:bidi w:val="0"/>
        <w:spacing w:line="460" w:lineRule="exact"/>
        <w:ind w:firstLine="480"/>
        <w:rPr>
          <w:rFonts w:hint="eastAsia" w:hAnsi="宋体" w:cs="宋体"/>
          <w:sz w:val="24"/>
          <w:szCs w:val="24"/>
        </w:rPr>
      </w:pPr>
      <w:r>
        <w:rPr>
          <w:rFonts w:hint="eastAsia" w:hAnsi="宋体" w:cs="宋体"/>
          <w:sz w:val="24"/>
          <w:szCs w:val="24"/>
        </w:rPr>
        <w:t>本文件每一项内容都遵循国家有关的法律、法规和规章制度，严格按照</w:t>
      </w:r>
      <w:r>
        <w:rPr>
          <w:rFonts w:hAnsi="宋体" w:cs="宋体"/>
          <w:sz w:val="24"/>
          <w:szCs w:val="24"/>
        </w:rPr>
        <w:t>GB/T 1.1</w:t>
      </w:r>
      <w:r>
        <w:rPr>
          <w:rFonts w:hint="eastAsia" w:hAnsi="宋体" w:cs="宋体"/>
          <w:sz w:val="24"/>
          <w:szCs w:val="24"/>
        </w:rPr>
        <w:t>《标准化工作导则</w:t>
      </w:r>
      <w:r>
        <w:rPr>
          <w:rFonts w:hAnsi="宋体" w:cs="宋体"/>
          <w:sz w:val="24"/>
          <w:szCs w:val="24"/>
        </w:rPr>
        <w:t xml:space="preserve"> </w:t>
      </w:r>
      <w:r>
        <w:rPr>
          <w:rFonts w:hint="eastAsia" w:hAnsi="宋体" w:cs="宋体"/>
          <w:sz w:val="24"/>
          <w:szCs w:val="24"/>
        </w:rPr>
        <w:t>第</w:t>
      </w:r>
      <w:r>
        <w:rPr>
          <w:rFonts w:hAnsi="宋体" w:cs="宋体"/>
          <w:sz w:val="24"/>
          <w:szCs w:val="24"/>
        </w:rPr>
        <w:t>1</w:t>
      </w:r>
      <w:r>
        <w:rPr>
          <w:rFonts w:hint="eastAsia" w:hAnsi="宋体" w:cs="宋体"/>
          <w:sz w:val="24"/>
          <w:szCs w:val="24"/>
        </w:rPr>
        <w:t>部分：标准化文件的结构和起草规则》等国家标准的要求进行编写。制定过程经过调研、征求意见等环节，标准实用性和可操作性强，大部分人都能看得懂，并且能轻而易举的按照标准规定进行识别和实际操作。</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lang w:eastAsia="zh-CN"/>
        </w:rPr>
        <w:t>五</w:t>
      </w:r>
      <w:r>
        <w:rPr>
          <w:rFonts w:hint="eastAsia" w:ascii="黑体" w:hAnsi="黑体" w:eastAsia="黑体" w:cs="黑体"/>
          <w:b w:val="0"/>
          <w:bCs w:val="0"/>
          <w:kern w:val="2"/>
          <w:sz w:val="24"/>
          <w:szCs w:val="24"/>
        </w:rPr>
        <w:t>、标准实施后对经济和社会发展的预期影响及论证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80" w:firstLineChars="200"/>
        <w:textAlignment w:val="auto"/>
        <w:rPr>
          <w:rFonts w:hint="eastAsia" w:asciiTheme="minorEastAsia" w:hAnsiTheme="minorEastAsia" w:eastAsiaTheme="minorEastAsia" w:cstheme="minorEastAsia"/>
          <w:b w:val="0"/>
          <w:bCs w:val="0"/>
          <w:color w:val="000000"/>
          <w:sz w:val="24"/>
          <w:szCs w:val="24"/>
          <w:lang w:val="en-US" w:eastAsia="zh-CN"/>
        </w:rPr>
      </w:pPr>
      <w:r>
        <w:rPr>
          <w:rFonts w:hint="eastAsia" w:asciiTheme="minorEastAsia" w:hAnsiTheme="minorEastAsia" w:eastAsiaTheme="minorEastAsia" w:cstheme="minorEastAsia"/>
          <w:b w:val="0"/>
          <w:bCs w:val="0"/>
          <w:color w:val="000000"/>
          <w:sz w:val="24"/>
          <w:szCs w:val="24"/>
          <w:lang w:val="en-US" w:eastAsia="zh-CN"/>
        </w:rPr>
        <w:t>本服务指南旨在标准化，规范化管理，以降低运营风险，提升旅居养老服务质量，提高旅居产业整体服务水平，更好地推动旅居养老产业和市场科学、健康的开展。</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default" w:asciiTheme="minorEastAsia" w:hAnsiTheme="minorEastAsia" w:eastAsiaTheme="minorEastAsia" w:cstheme="minorEastAsia"/>
          <w:color w:val="auto"/>
          <w:sz w:val="24"/>
          <w:szCs w:val="24"/>
          <w:lang w:val="en-US" w:eastAsia="zh-CN"/>
        </w:rPr>
      </w:pPr>
      <w:r>
        <w:rPr>
          <w:rFonts w:hint="eastAsia" w:ascii="黑体" w:hAnsi="黑体" w:eastAsia="黑体" w:cs="黑体"/>
          <w:b w:val="0"/>
          <w:bCs w:val="0"/>
          <w:kern w:val="2"/>
          <w:sz w:val="24"/>
          <w:szCs w:val="24"/>
          <w:lang w:eastAsia="zh-CN"/>
        </w:rPr>
        <w:t>六</w:t>
      </w:r>
      <w:r>
        <w:rPr>
          <w:rFonts w:hint="eastAsia" w:ascii="黑体" w:hAnsi="黑体" w:eastAsia="黑体" w:cs="黑体"/>
          <w:b w:val="0"/>
          <w:bCs w:val="0"/>
          <w:kern w:val="2"/>
          <w:sz w:val="24"/>
          <w:szCs w:val="24"/>
        </w:rPr>
        <w:t>、与国内政府主导制定标准（国家标准、行业标准、地方标准）的协调情况，采用国际标准的先进程度</w:t>
      </w:r>
    </w:p>
    <w:p>
      <w:pPr>
        <w:keepNext w:val="0"/>
        <w:keepLines w:val="0"/>
        <w:pageBreakBefore w:val="0"/>
        <w:kinsoku/>
        <w:wordWrap/>
        <w:overflowPunct/>
        <w:topLinePunct w:val="0"/>
        <w:autoSpaceDE/>
        <w:autoSpaceDN/>
        <w:bidi w:val="0"/>
        <w:adjustRightInd w:val="0"/>
        <w:spacing w:line="460" w:lineRule="exact"/>
        <w:ind w:firstLine="480" w:firstLineChars="200"/>
        <w:textAlignment w:val="baseline"/>
        <w:rPr>
          <w:rFonts w:hint="eastAsia" w:ascii="宋体" w:hAnsi="宋体" w:cs="宋体"/>
          <w:kern w:val="0"/>
          <w:sz w:val="24"/>
          <w:szCs w:val="24"/>
        </w:rPr>
      </w:pPr>
      <w:r>
        <w:rPr>
          <w:rFonts w:hint="eastAsia" w:ascii="宋体" w:hAnsi="宋体" w:cs="宋体"/>
          <w:kern w:val="0"/>
          <w:sz w:val="24"/>
          <w:szCs w:val="24"/>
        </w:rPr>
        <w:t>本文件</w:t>
      </w:r>
      <w:r>
        <w:rPr>
          <w:rFonts w:hint="eastAsia" w:ascii="宋体" w:hAnsi="宋体" w:cs="宋体"/>
          <w:kern w:val="0"/>
          <w:sz w:val="24"/>
          <w:szCs w:val="24"/>
          <w:lang w:eastAsia="zh-CN"/>
        </w:rPr>
        <w:t>与</w:t>
      </w:r>
      <w:r>
        <w:rPr>
          <w:rFonts w:hint="eastAsia" w:ascii="宋体" w:hAnsi="宋体" w:cs="宋体"/>
          <w:kern w:val="0"/>
          <w:sz w:val="24"/>
          <w:szCs w:val="24"/>
        </w:rPr>
        <w:t>国家标准、行业标准</w:t>
      </w:r>
      <w:r>
        <w:rPr>
          <w:rFonts w:hint="eastAsia" w:ascii="宋体" w:hAnsi="宋体" w:cs="宋体"/>
          <w:kern w:val="0"/>
          <w:sz w:val="24"/>
          <w:szCs w:val="24"/>
          <w:lang w:eastAsia="zh-CN"/>
        </w:rPr>
        <w:t>、地方标准相协调</w:t>
      </w:r>
      <w:r>
        <w:rPr>
          <w:rFonts w:hint="eastAsia" w:ascii="宋体" w:hAnsi="宋体" w:cs="宋体"/>
          <w:kern w:val="0"/>
          <w:sz w:val="24"/>
          <w:szCs w:val="24"/>
        </w:rPr>
        <w:t>，未采用国际标准。</w:t>
      </w:r>
    </w:p>
    <w:p>
      <w:pPr>
        <w:pStyle w:val="6"/>
        <w:keepNext w:val="0"/>
        <w:keepLines w:val="0"/>
        <w:pageBreakBefore w:val="0"/>
        <w:numPr>
          <w:ilvl w:val="0"/>
          <w:numId w:val="9"/>
        </w:numPr>
        <w:kinsoku/>
        <w:wordWrap/>
        <w:overflowPunct/>
        <w:topLinePunct w:val="0"/>
        <w:autoSpaceDE/>
        <w:autoSpaceDN/>
        <w:bidi w:val="0"/>
        <w:spacing w:line="460" w:lineRule="exact"/>
        <w:ind w:left="0" w:leftChars="0"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与现行法律、法规、强制性标准的关系</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w:t>
      </w:r>
      <w:r>
        <w:rPr>
          <w:rFonts w:hint="eastAsia" w:asciiTheme="minorEastAsia" w:hAnsiTheme="minorEastAsia" w:eastAsiaTheme="minorEastAsia" w:cstheme="minorEastAsia"/>
          <w:sz w:val="24"/>
          <w:szCs w:val="24"/>
          <w:lang w:eastAsia="zh-CN"/>
        </w:rPr>
        <w:t>文件</w:t>
      </w:r>
      <w:r>
        <w:rPr>
          <w:rFonts w:hint="eastAsia" w:asciiTheme="minorEastAsia" w:hAnsiTheme="minorEastAsia" w:eastAsiaTheme="minorEastAsia" w:cstheme="minorEastAsia"/>
          <w:sz w:val="24"/>
          <w:szCs w:val="24"/>
        </w:rPr>
        <w:t>制订过程遵循</w:t>
      </w:r>
      <w:r>
        <w:rPr>
          <w:rFonts w:hint="eastAsia" w:asciiTheme="minorEastAsia" w:hAnsiTheme="minorEastAsia" w:eastAsiaTheme="minorEastAsia" w:cstheme="minorEastAsia"/>
          <w:sz w:val="24"/>
          <w:szCs w:val="24"/>
          <w:lang w:eastAsia="zh-CN"/>
        </w:rPr>
        <w:t>相关</w:t>
      </w:r>
      <w:r>
        <w:rPr>
          <w:rFonts w:hint="eastAsia" w:asciiTheme="minorEastAsia" w:hAnsiTheme="minorEastAsia" w:eastAsiaTheme="minorEastAsia" w:cstheme="minorEastAsia"/>
          <w:sz w:val="24"/>
          <w:szCs w:val="24"/>
        </w:rPr>
        <w:t>法律、法规，与现行法律、法规和强制性标准无冲突。</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lang w:eastAsia="zh-CN"/>
        </w:rPr>
        <w:t>八</w:t>
      </w:r>
      <w:r>
        <w:rPr>
          <w:rFonts w:hint="eastAsia" w:ascii="黑体" w:hAnsi="黑体" w:eastAsia="黑体" w:cs="黑体"/>
          <w:b w:val="0"/>
          <w:bCs w:val="0"/>
          <w:kern w:val="2"/>
          <w:sz w:val="24"/>
          <w:szCs w:val="24"/>
        </w:rPr>
        <w:t>、是否涉及专利（涉及专利的应作出必要专利声明）</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本文件在征求意见过程中，未收到涉及专利的异议。</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lang w:eastAsia="zh-CN"/>
        </w:rPr>
        <w:t>九</w:t>
      </w:r>
      <w:r>
        <w:rPr>
          <w:rFonts w:hint="eastAsia" w:ascii="黑体" w:hAnsi="黑体" w:eastAsia="黑体" w:cs="黑体"/>
          <w:b w:val="0"/>
          <w:bCs w:val="0"/>
          <w:kern w:val="2"/>
          <w:sz w:val="24"/>
          <w:szCs w:val="24"/>
        </w:rPr>
        <w:t>、重大分歧意见的处理过程</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w:t>
      </w:r>
      <w:r>
        <w:rPr>
          <w:rFonts w:hint="eastAsia" w:asciiTheme="minorEastAsia" w:hAnsiTheme="minorEastAsia" w:eastAsiaTheme="minorEastAsia" w:cstheme="minorEastAsia"/>
          <w:sz w:val="24"/>
          <w:szCs w:val="24"/>
          <w:lang w:eastAsia="zh-CN"/>
        </w:rPr>
        <w:t>文件</w:t>
      </w:r>
      <w:r>
        <w:rPr>
          <w:rFonts w:hint="eastAsia" w:asciiTheme="minorEastAsia" w:hAnsiTheme="minorEastAsia" w:eastAsiaTheme="minorEastAsia" w:cstheme="minorEastAsia"/>
          <w:sz w:val="24"/>
          <w:szCs w:val="24"/>
        </w:rPr>
        <w:t>审议过程中，与各相关方达成了一致意见，无重大分歧意见。</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rPr>
        <w:t>十、作为强制性地方标准的依据（推荐性标准无需说明）</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rPr>
        <w:t>本文件为推荐性标准</w:t>
      </w:r>
      <w:r>
        <w:rPr>
          <w:rFonts w:hint="eastAsia" w:asciiTheme="minorEastAsia" w:hAnsiTheme="minorEastAsia" w:eastAsiaTheme="minorEastAsia" w:cstheme="minorEastAsia"/>
          <w:kern w:val="2"/>
          <w:sz w:val="24"/>
          <w:szCs w:val="24"/>
          <w:lang w:eastAsia="zh-CN"/>
        </w:rPr>
        <w:t>。</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rPr>
        <w:t>十</w:t>
      </w:r>
      <w:r>
        <w:rPr>
          <w:rFonts w:hint="eastAsia" w:ascii="黑体" w:hAnsi="黑体" w:eastAsia="黑体" w:cs="黑体"/>
          <w:b w:val="0"/>
          <w:bCs w:val="0"/>
          <w:kern w:val="2"/>
          <w:sz w:val="24"/>
          <w:szCs w:val="24"/>
          <w:lang w:eastAsia="zh-CN"/>
        </w:rPr>
        <w:t>一</w:t>
      </w:r>
      <w:r>
        <w:rPr>
          <w:rFonts w:hint="eastAsia" w:ascii="黑体" w:hAnsi="黑体" w:eastAsia="黑体" w:cs="黑体"/>
          <w:b w:val="0"/>
          <w:bCs w:val="0"/>
          <w:kern w:val="2"/>
          <w:sz w:val="24"/>
          <w:szCs w:val="24"/>
        </w:rPr>
        <w:t>、标准实施的计划、方案</w:t>
      </w:r>
    </w:p>
    <w:p>
      <w:pPr>
        <w:keepNext w:val="0"/>
        <w:keepLines w:val="0"/>
        <w:pageBreakBefore w:val="0"/>
        <w:tabs>
          <w:tab w:val="left" w:pos="404"/>
        </w:tabs>
        <w:kinsoku/>
        <w:wordWrap/>
        <w:overflowPunct/>
        <w:topLinePunct w:val="0"/>
        <w:autoSpaceDE/>
        <w:autoSpaceDN/>
        <w:bidi w:val="0"/>
        <w:adjustRightInd w:val="0"/>
        <w:snapToGrid/>
        <w:spacing w:line="460" w:lineRule="exact"/>
        <w:ind w:left="0" w:leftChars="0"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w:t>
      </w:r>
      <w:r>
        <w:rPr>
          <w:rFonts w:hint="eastAsia" w:asciiTheme="minorEastAsia" w:hAnsiTheme="minorEastAsia" w:eastAsiaTheme="minorEastAsia" w:cstheme="minorEastAsia"/>
          <w:sz w:val="24"/>
          <w:szCs w:val="24"/>
          <w:lang w:eastAsia="zh-CN"/>
        </w:rPr>
        <w:t>文件</w:t>
      </w:r>
      <w:r>
        <w:rPr>
          <w:rFonts w:hint="eastAsia" w:asciiTheme="minorEastAsia" w:hAnsiTheme="minorEastAsia" w:eastAsiaTheme="minorEastAsia" w:cstheme="minorEastAsia"/>
          <w:sz w:val="24"/>
          <w:szCs w:val="24"/>
        </w:rPr>
        <w:t>发布实施后：</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80" w:firstLineChars="200"/>
        <w:textAlignment w:val="auto"/>
        <w:rPr>
          <w:rFonts w:hint="eastAsia"/>
        </w:rPr>
      </w:pPr>
      <w:r>
        <w:rPr>
          <w:rFonts w:hint="eastAsia" w:asciiTheme="minorEastAsia" w:hAnsiTheme="minorEastAsia" w:eastAsiaTheme="minorEastAsia" w:cstheme="minorEastAsia"/>
          <w:b w:val="0"/>
          <w:bCs w:val="0"/>
          <w:color w:val="000000"/>
          <w:sz w:val="24"/>
          <w:szCs w:val="24"/>
          <w:lang w:val="en-US" w:eastAsia="zh-CN"/>
        </w:rPr>
        <w:t>1.提高旅居产业整体服务水平，更好地推动旅居养老产业和市场科学、健康的开展。</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加大宣传力度，通过有关媒体发布、公告标准信息，扩大影响。</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jc w:val="left"/>
        <w:textAlignment w:val="baseline"/>
        <w:rPr>
          <w:rFonts w:hint="eastAsia"/>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在实施标准过程中对所发现的问题应及时反馈，以利于本标准的修订和完善。</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479" w:leftChars="228" w:firstLine="0" w:firstLineChars="0"/>
        <w:rPr>
          <w:rFonts w:hint="eastAsia" w:ascii="黑体" w:hAnsi="黑体" w:eastAsia="黑体" w:cs="黑体"/>
          <w:b w:val="0"/>
          <w:bCs w:val="0"/>
          <w:kern w:val="2"/>
          <w:sz w:val="24"/>
          <w:szCs w:val="24"/>
        </w:rPr>
      </w:pPr>
      <w:r>
        <w:rPr>
          <w:rFonts w:hint="eastAsia" w:ascii="黑体" w:hAnsi="黑体" w:eastAsia="黑体" w:cs="黑体"/>
          <w:b w:val="0"/>
          <w:bCs w:val="0"/>
          <w:kern w:val="2"/>
          <w:sz w:val="24"/>
          <w:szCs w:val="24"/>
        </w:rPr>
        <w:t>十</w:t>
      </w:r>
      <w:r>
        <w:rPr>
          <w:rFonts w:hint="eastAsia" w:ascii="黑体" w:hAnsi="黑体" w:eastAsia="黑体" w:cs="黑体"/>
          <w:b w:val="0"/>
          <w:bCs w:val="0"/>
          <w:kern w:val="2"/>
          <w:sz w:val="24"/>
          <w:szCs w:val="24"/>
          <w:lang w:eastAsia="zh-CN"/>
        </w:rPr>
        <w:t>二</w:t>
      </w:r>
      <w:r>
        <w:rPr>
          <w:rFonts w:hint="eastAsia" w:ascii="黑体" w:hAnsi="黑体" w:eastAsia="黑体" w:cs="黑体"/>
          <w:b w:val="0"/>
          <w:bCs w:val="0"/>
          <w:kern w:val="2"/>
          <w:sz w:val="24"/>
          <w:szCs w:val="24"/>
        </w:rPr>
        <w:t>、标准解释、归口管理以及获取意见建议的联系方式（应保证长期稳定）</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firstLine="480" w:firstLineChars="200"/>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rPr>
        <w:t>标准解释：</w:t>
      </w:r>
      <w:r>
        <w:rPr>
          <w:rFonts w:hint="eastAsia" w:asciiTheme="minorEastAsia" w:hAnsiTheme="minorEastAsia" w:eastAsiaTheme="minorEastAsia" w:cstheme="minorEastAsia"/>
          <w:kern w:val="2"/>
          <w:sz w:val="24"/>
          <w:szCs w:val="24"/>
          <w:lang w:eastAsia="zh-CN"/>
        </w:rPr>
        <w:t>黔东南州民政局</w:t>
      </w:r>
      <w:r>
        <w:rPr>
          <w:rFonts w:hint="eastAsia" w:asciiTheme="minorEastAsia" w:hAnsiTheme="minorEastAsia" w:eastAsiaTheme="minorEastAsia" w:cstheme="minorEastAsia"/>
          <w:kern w:val="2"/>
          <w:sz w:val="24"/>
          <w:szCs w:val="24"/>
          <w:lang w:val="en-US" w:eastAsia="zh-CN"/>
        </w:rPr>
        <w:t>单位；</w:t>
      </w:r>
      <w:r>
        <w:rPr>
          <w:rFonts w:hint="eastAsia" w:asciiTheme="minorEastAsia" w:hAnsiTheme="minorEastAsia" w:eastAsiaTheme="minorEastAsia" w:cstheme="minorEastAsia"/>
          <w:kern w:val="2"/>
          <w:sz w:val="24"/>
          <w:szCs w:val="24"/>
        </w:rPr>
        <w:t>联系</w:t>
      </w:r>
      <w:r>
        <w:rPr>
          <w:rFonts w:hint="eastAsia" w:asciiTheme="minorEastAsia" w:hAnsiTheme="minorEastAsia" w:eastAsiaTheme="minorEastAsia" w:cstheme="minorEastAsia"/>
          <w:kern w:val="2"/>
          <w:sz w:val="24"/>
          <w:szCs w:val="24"/>
          <w:lang w:eastAsia="zh-CN"/>
        </w:rPr>
        <w:t>人：文周琴；</w:t>
      </w:r>
      <w:r>
        <w:rPr>
          <w:rFonts w:hint="eastAsia" w:asciiTheme="minorEastAsia" w:hAnsiTheme="minorEastAsia" w:eastAsiaTheme="minorEastAsia" w:cstheme="minorEastAsia"/>
          <w:kern w:val="2"/>
          <w:sz w:val="24"/>
          <w:szCs w:val="24"/>
        </w:rPr>
        <w:t>联系电话：</w:t>
      </w:r>
      <w:r>
        <w:rPr>
          <w:rFonts w:hint="eastAsia" w:asciiTheme="minorEastAsia" w:hAnsiTheme="minorEastAsia" w:eastAsiaTheme="minorEastAsia" w:cstheme="minorEastAsia"/>
          <w:kern w:val="2"/>
          <w:sz w:val="24"/>
          <w:szCs w:val="24"/>
          <w:lang w:val="en-US" w:eastAsia="zh-CN"/>
        </w:rPr>
        <w:t>0855-8223978；</w:t>
      </w:r>
      <w:r>
        <w:rPr>
          <w:rFonts w:hint="eastAsia" w:asciiTheme="minorEastAsia" w:hAnsiTheme="minorEastAsia" w:eastAsiaTheme="minorEastAsia" w:cstheme="minorEastAsia"/>
          <w:kern w:val="2"/>
          <w:sz w:val="24"/>
          <w:szCs w:val="24"/>
        </w:rPr>
        <w:t>邮箱：</w:t>
      </w:r>
      <w:r>
        <w:rPr>
          <w:rFonts w:hint="eastAsia" w:asciiTheme="minorEastAsia" w:hAnsiTheme="minorEastAsia" w:eastAsiaTheme="minorEastAsia" w:cstheme="minorEastAsia"/>
          <w:color w:val="auto"/>
          <w:kern w:val="2"/>
          <w:sz w:val="24"/>
          <w:szCs w:val="24"/>
          <w:u w:val="none"/>
          <w:lang w:val="en-US" w:eastAsia="zh-CN"/>
        </w:rPr>
        <w:t>736862999@qq.com</w:t>
      </w:r>
      <w:r>
        <w:rPr>
          <w:rFonts w:hint="eastAsia" w:asciiTheme="minorEastAsia" w:hAnsiTheme="minorEastAsia" w:eastAsiaTheme="minorEastAsia" w:cstheme="minorEastAsia"/>
          <w:color w:val="auto"/>
          <w:kern w:val="2"/>
          <w:sz w:val="24"/>
          <w:szCs w:val="24"/>
          <w:u w:val="none"/>
          <w:lang w:eastAsia="zh-CN"/>
        </w:rPr>
        <w:t>。</w:t>
      </w: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firstLine="480" w:firstLineChars="200"/>
        <w:rPr>
          <w:rFonts w:hint="eastAsia" w:asciiTheme="minorEastAsia" w:hAnsiTheme="minorEastAsia" w:eastAsiaTheme="minorEastAsia" w:cstheme="minorEastAsia"/>
          <w:kern w:val="2"/>
          <w:sz w:val="24"/>
          <w:szCs w:val="24"/>
          <w:lang w:eastAsia="zh-CN"/>
        </w:rPr>
      </w:pPr>
    </w:p>
    <w:p>
      <w:pPr>
        <w:pStyle w:val="5"/>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kern w:val="2"/>
          <w:sz w:val="24"/>
          <w:szCs w:val="24"/>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5088" w:firstLineChars="212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黔东南州地方标准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4130" w:firstLineChars="172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《养老机构旅居养老服务规范》编写组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5568" w:firstLineChars="2320"/>
        <w:textAlignment w:val="auto"/>
        <w:rPr>
          <w:rFonts w:hint="eastAsia" w:asciiTheme="minorEastAsia" w:hAnsiTheme="minorEastAsia" w:eastAsiaTheme="minorEastAsia" w:cstheme="minorEastAsia"/>
          <w:sz w:val="24"/>
          <w:szCs w:val="24"/>
          <w:lang w:eastAsia="zh-CN"/>
        </w:rPr>
      </w:pPr>
      <w:bookmarkStart w:id="0" w:name="_GoBack"/>
      <w:bookmarkEnd w:id="0"/>
      <w:r>
        <w:rPr>
          <w:rFonts w:hint="eastAsia" w:asciiTheme="minorEastAsia" w:hAnsiTheme="minorEastAsia" w:eastAsiaTheme="minorEastAsia" w:cstheme="minorEastAsia"/>
          <w:sz w:val="24"/>
          <w:szCs w:val="24"/>
          <w:lang w:val="en-US" w:eastAsia="zh-CN"/>
        </w:rPr>
        <w:t>2025</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月</w:t>
      </w:r>
    </w:p>
    <w:p>
      <w:pPr>
        <w:numPr>
          <w:ilvl w:val="0"/>
          <w:numId w:val="0"/>
        </w:num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ADCFF"/>
    <w:multiLevelType w:val="singleLevel"/>
    <w:tmpl w:val="81CADCFF"/>
    <w:lvl w:ilvl="0" w:tentative="0">
      <w:start w:val="1"/>
      <w:numFmt w:val="chineseCounting"/>
      <w:suff w:val="nothing"/>
      <w:lvlText w:val="%1、"/>
      <w:lvlJc w:val="left"/>
      <w:rPr>
        <w:rFonts w:hint="eastAsia"/>
      </w:rPr>
    </w:lvl>
  </w:abstractNum>
  <w:abstractNum w:abstractNumId="1">
    <w:nsid w:val="85D65BFA"/>
    <w:multiLevelType w:val="singleLevel"/>
    <w:tmpl w:val="85D65BFA"/>
    <w:lvl w:ilvl="0" w:tentative="0">
      <w:start w:val="1"/>
      <w:numFmt w:val="decimal"/>
      <w:lvlText w:val="(%1)"/>
      <w:lvlJc w:val="left"/>
      <w:pPr>
        <w:ind w:left="845" w:hanging="425"/>
      </w:pPr>
      <w:rPr>
        <w:rFonts w:hint="default"/>
      </w:rPr>
    </w:lvl>
  </w:abstractNum>
  <w:abstractNum w:abstractNumId="2">
    <w:nsid w:val="9D1D960A"/>
    <w:multiLevelType w:val="singleLevel"/>
    <w:tmpl w:val="9D1D960A"/>
    <w:lvl w:ilvl="0" w:tentative="0">
      <w:start w:val="1"/>
      <w:numFmt w:val="chineseCounting"/>
      <w:suff w:val="nothing"/>
      <w:lvlText w:val="（%1）"/>
      <w:lvlJc w:val="left"/>
      <w:rPr>
        <w:rFonts w:hint="eastAsia"/>
      </w:rPr>
    </w:lvl>
  </w:abstractNum>
  <w:abstractNum w:abstractNumId="3">
    <w:nsid w:val="F4BE251C"/>
    <w:multiLevelType w:val="singleLevel"/>
    <w:tmpl w:val="F4BE251C"/>
    <w:lvl w:ilvl="0" w:tentative="0">
      <w:start w:val="4"/>
      <w:numFmt w:val="chineseCounting"/>
      <w:suff w:val="nothing"/>
      <w:lvlText w:val="%1、"/>
      <w:lvlJc w:val="left"/>
      <w:rPr>
        <w:rFonts w:hint="eastAsia"/>
      </w:rPr>
    </w:lvl>
  </w:abstractNum>
  <w:abstractNum w:abstractNumId="4">
    <w:nsid w:val="0000000E"/>
    <w:multiLevelType w:val="multilevel"/>
    <w:tmpl w:val="0000000E"/>
    <w:lvl w:ilvl="0" w:tentative="0">
      <w:start w:val="1"/>
      <w:numFmt w:val="decimal"/>
      <w:pStyle w:val="11"/>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43319CED"/>
    <w:multiLevelType w:val="singleLevel"/>
    <w:tmpl w:val="43319CED"/>
    <w:lvl w:ilvl="0" w:tentative="0">
      <w:start w:val="7"/>
      <w:numFmt w:val="chineseCounting"/>
      <w:suff w:val="nothing"/>
      <w:lvlText w:val="%1、"/>
      <w:lvlJc w:val="left"/>
      <w:rPr>
        <w:rFonts w:hint="eastAsia"/>
      </w:rPr>
    </w:lvl>
  </w:abstractNum>
  <w:abstractNum w:abstractNumId="6">
    <w:nsid w:val="5B6640A8"/>
    <w:multiLevelType w:val="singleLevel"/>
    <w:tmpl w:val="5B6640A8"/>
    <w:lvl w:ilvl="0" w:tentative="0">
      <w:start w:val="3"/>
      <w:numFmt w:val="decimal"/>
      <w:suff w:val="nothing"/>
      <w:lvlText w:val="（%1）"/>
      <w:lvlJc w:val="left"/>
    </w:lvl>
  </w:abstractNum>
  <w:abstractNum w:abstractNumId="7">
    <w:nsid w:val="65EAA232"/>
    <w:multiLevelType w:val="singleLevel"/>
    <w:tmpl w:val="65EAA232"/>
    <w:lvl w:ilvl="0" w:tentative="0">
      <w:start w:val="2"/>
      <w:numFmt w:val="chineseCounting"/>
      <w:suff w:val="nothing"/>
      <w:lvlText w:val="（%1）"/>
      <w:lvlJc w:val="left"/>
      <w:pPr>
        <w:ind w:left="-61"/>
      </w:pPr>
      <w:rPr>
        <w:rFonts w:hint="eastAsia"/>
      </w:rPr>
    </w:lvl>
  </w:abstractNum>
  <w:abstractNum w:abstractNumId="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5"/>
      <w:suff w:val="nothing"/>
      <w:lvlText w:val="%1%2　"/>
      <w:lvlJc w:val="left"/>
      <w:pPr>
        <w:ind w:left="0" w:firstLine="0"/>
      </w:pPr>
      <w:rPr>
        <w:rFonts w:hint="eastAsia" w:ascii="黑体" w:eastAsia="黑体"/>
        <w:b w:val="0"/>
        <w:i w:val="0"/>
        <w:sz w:val="21"/>
      </w:rPr>
    </w:lvl>
    <w:lvl w:ilvl="2" w:tentative="0">
      <w:start w:val="1"/>
      <w:numFmt w:val="decimal"/>
      <w:pStyle w:val="1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8"/>
  </w:num>
  <w:num w:numId="3">
    <w:abstractNumId w:val="0"/>
  </w:num>
  <w:num w:numId="4">
    <w:abstractNumId w:val="2"/>
  </w:num>
  <w:num w:numId="5">
    <w:abstractNumId w:val="6"/>
  </w:num>
  <w:num w:numId="6">
    <w:abstractNumId w:val="7"/>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176810"/>
    <w:rsid w:val="10767CEA"/>
    <w:rsid w:val="1D1A030D"/>
    <w:rsid w:val="204E57BF"/>
    <w:rsid w:val="25643872"/>
    <w:rsid w:val="29CF3616"/>
    <w:rsid w:val="2B176810"/>
    <w:rsid w:val="38F37BBE"/>
    <w:rsid w:val="4EBC5802"/>
    <w:rsid w:val="5FA86820"/>
    <w:rsid w:val="72147937"/>
    <w:rsid w:val="B4BE720F"/>
    <w:rsid w:val="E3ED3F63"/>
    <w:rsid w:val="EBEA0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Indent"/>
    <w:basedOn w:val="1"/>
    <w:next w:val="4"/>
    <w:qFormat/>
    <w:uiPriority w:val="0"/>
    <w:pPr>
      <w:ind w:left="420" w:leftChars="200"/>
    </w:pPr>
  </w:style>
  <w:style w:type="paragraph" w:styleId="4">
    <w:name w:val="Balloon Text"/>
    <w:basedOn w:val="1"/>
    <w:next w:val="1"/>
    <w:qFormat/>
    <w:uiPriority w:val="0"/>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First Indent 2"/>
    <w:basedOn w:val="3"/>
    <w:next w:val="1"/>
    <w:qFormat/>
    <w:uiPriority w:val="0"/>
    <w:pPr>
      <w:ind w:firstLine="420" w:firstLineChars="200"/>
    </w:p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qFormat/>
    <w:uiPriority w:val="0"/>
    <w:rPr>
      <w:color w:val="0000FF"/>
      <w:u w:val="single"/>
    </w:rPr>
  </w:style>
  <w:style w:type="paragraph" w:customStyle="1" w:styleId="11">
    <w:name w:val="章标题"/>
    <w:next w:val="12"/>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2">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
    <w:name w:val="标准文件_一级条标题"/>
    <w:basedOn w:val="15"/>
    <w:next w:val="13"/>
    <w:qFormat/>
    <w:uiPriority w:val="0"/>
    <w:pPr>
      <w:numPr>
        <w:ilvl w:val="2"/>
      </w:numPr>
      <w:spacing w:before="50" w:beforeLines="50" w:after="50" w:afterLines="50"/>
      <w:outlineLvl w:val="1"/>
    </w:pPr>
  </w:style>
  <w:style w:type="paragraph" w:customStyle="1" w:styleId="15">
    <w:name w:val="标准文件_章标题"/>
    <w:next w:val="13"/>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3421</Words>
  <Characters>3514</Characters>
  <Lines>0</Lines>
  <Paragraphs>0</Paragraphs>
  <TotalTime>4</TotalTime>
  <ScaleCrop>false</ScaleCrop>
  <LinksUpToDate>false</LinksUpToDate>
  <CharactersWithSpaces>3522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2025-05-01T02:46:00Z</dcterms:created>
  <dc:creator>wait</dc:creator>
  <cp:lastModifiedBy>ysgz</cp:lastModifiedBy>
  <dcterms:modified xsi:type="dcterms:W3CDTF">2025-05-19T09:53:15Z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eyJoZGlkIjoiZDlmMDRmNjdhMGQ5ODFlMDNjOGMxNmE1MGIyMGZhZmIiLCJ1c2VySWQiOiIyNjU0NDMxNjYifQ==</vt:lpwstr>
  </property>
  <property fmtid="{D5CDD505-2E9C-101B-9397-08002B2CF9AE}" pid="4" name="ICV">
    <vt:lpwstr>DB5B4283EF4F45F9A25CFAB45F5419A4_13</vt:lpwstr>
  </property>
</Properties>
</file>