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Cs/>
          <w:sz w:val="36"/>
          <w:szCs w:val="36"/>
        </w:rPr>
      </w:pPr>
      <w:r>
        <w:rPr>
          <w:rFonts w:hint="eastAsia" w:ascii="黑体" w:hAnsi="黑体" w:eastAsia="黑体" w:cs="黑体"/>
          <w:sz w:val="36"/>
          <w:szCs w:val="36"/>
          <w:lang w:eastAsia="zh-CN"/>
        </w:rPr>
        <w:t>黔东南州</w:t>
      </w:r>
      <w:r>
        <w:rPr>
          <w:rFonts w:hint="eastAsia" w:ascii="黑体" w:hAnsi="黑体" w:eastAsia="黑体" w:cs="黑体"/>
          <w:bCs/>
          <w:sz w:val="36"/>
          <w:szCs w:val="36"/>
        </w:rPr>
        <w:t>地方标准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lang w:eastAsia="zh-CN"/>
        </w:rPr>
      </w:pPr>
      <w:r>
        <w:rPr>
          <w:rFonts w:hint="eastAsia" w:ascii="黑体" w:hAnsi="黑体" w:eastAsia="黑体" w:cs="黑体"/>
          <w:bCs/>
          <w:sz w:val="36"/>
          <w:szCs w:val="36"/>
          <w:lang w:eastAsia="zh-CN"/>
        </w:rPr>
        <w:t>《</w:t>
      </w:r>
      <w:r>
        <w:rPr>
          <w:rFonts w:hint="eastAsia" w:ascii="黑体" w:hAnsi="黑体" w:eastAsia="黑体" w:cs="黑体"/>
          <w:sz w:val="36"/>
          <w:szCs w:val="36"/>
          <w:lang w:val="en-US" w:eastAsia="zh-CN"/>
        </w:rPr>
        <w:t>养老机构运营管理指南</w:t>
      </w:r>
      <w:r>
        <w:rPr>
          <w:rFonts w:hint="eastAsia" w:ascii="黑体" w:hAnsi="黑体" w:eastAsia="黑体" w:cs="黑体"/>
          <w:sz w:val="36"/>
          <w:szCs w:val="36"/>
          <w:lang w:eastAsia="zh-CN"/>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both"/>
        <w:textAlignment w:val="auto"/>
        <w:rPr>
          <w:rFonts w:hint="eastAsia" w:ascii="黑体" w:hAnsi="黑体" w:eastAsia="黑体" w:cs="黑体"/>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80" w:firstLineChars="200"/>
        <w:jc w:val="both"/>
        <w:textAlignment w:val="auto"/>
        <w:rPr>
          <w:rFonts w:hint="eastAsia"/>
          <w:sz w:val="24"/>
          <w:szCs w:val="24"/>
        </w:rPr>
      </w:pPr>
      <w:r>
        <w:rPr>
          <w:rFonts w:hint="eastAsia" w:ascii="黑体" w:hAnsi="黑体" w:eastAsia="黑体" w:cs="黑体"/>
          <w:b w:val="0"/>
          <w:bCs w:val="0"/>
          <w:color w:val="auto"/>
          <w:sz w:val="24"/>
          <w:szCs w:val="24"/>
          <w:lang w:val="en-US" w:eastAsia="zh-CN"/>
        </w:rPr>
        <w:t>一、项目背景</w:t>
      </w:r>
    </w:p>
    <w:p>
      <w:pPr>
        <w:keepNext w:val="0"/>
        <w:keepLines w:val="0"/>
        <w:pageBreakBefore w:val="0"/>
        <w:numPr>
          <w:ilvl w:val="0"/>
          <w:numId w:val="0"/>
        </w:numPr>
        <w:kinsoku/>
        <w:wordWrap/>
        <w:overflowPunct/>
        <w:topLinePunct w:val="0"/>
        <w:autoSpaceDE/>
        <w:autoSpaceDN/>
        <w:bidi w:val="0"/>
        <w:spacing w:line="460" w:lineRule="exact"/>
        <w:ind w:leftChars="0" w:firstLine="481" w:firstLineChars="200"/>
        <w:jc w:val="both"/>
        <w:rPr>
          <w:rFonts w:hint="eastAsia" w:ascii="楷体" w:hAnsi="楷体" w:eastAsia="楷体" w:cs="楷体"/>
          <w:b/>
          <w:bCs/>
          <w:color w:val="auto"/>
          <w:sz w:val="24"/>
          <w:szCs w:val="24"/>
        </w:rPr>
      </w:pPr>
      <w:r>
        <w:rPr>
          <w:rFonts w:hint="eastAsia" w:ascii="楷体" w:hAnsi="楷体" w:eastAsia="楷体" w:cs="楷体"/>
          <w:b/>
          <w:bCs/>
          <w:color w:val="auto"/>
          <w:sz w:val="24"/>
          <w:szCs w:val="24"/>
          <w:lang w:eastAsia="zh-CN"/>
        </w:rPr>
        <w:t>（一）相关领域现状</w:t>
      </w:r>
    </w:p>
    <w:p>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全国第七次人口普查数据显示，截至2020年末，黔东南州常住人口为3758622人，其中，60岁及以上人口为642509人，占比17.09%；65岁及以上人口为492289人，占比13.10%。全州16个县（市）的60岁及以上老年人口比重均超过13%；65岁及以上老年人口比重均超过10%。全州现有60岁以上老年人口70.8万人、占常住人口总数的18.9%，投入养老服务机构54所，养老床位5733张，入住老人2251人，养老床位利用率39.23%。全州建成县级老年养护楼18个、社会综合福利中心14个、县级养老服务中心7个，县级层面区域性养老服务中心覆盖率100%。拥有乡镇敬老院136所，乡镇（街道）层面养老服务中心覆盖率62.67%。社区养老服务站155个、农村幸福院538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Chars="0" w:firstLine="481"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楷体_GB2312" w:hAnsi="楷体_GB2312" w:eastAsia="楷体_GB2312" w:cs="楷体_GB2312"/>
          <w:b/>
          <w:bCs/>
          <w:color w:val="auto"/>
          <w:sz w:val="24"/>
          <w:szCs w:val="24"/>
          <w:lang w:val="en-US" w:eastAsia="zh-CN"/>
        </w:rPr>
        <w:t>（二）</w:t>
      </w:r>
      <w:r>
        <w:rPr>
          <w:rFonts w:hint="eastAsia" w:ascii="楷体" w:hAnsi="楷体" w:eastAsia="楷体" w:cs="楷体"/>
          <w:b/>
          <w:bCs/>
          <w:color w:val="auto"/>
          <w:sz w:val="24"/>
          <w:szCs w:val="24"/>
        </w:rPr>
        <w:t>制定地方标准的必要性和意义</w:t>
      </w:r>
    </w:p>
    <w:p>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随着社会老龄化进程的加快，黔东南州乃至全国面临日益增长的养老服务需求。但目前我州在发展养老服务事业上仍存在许多困难，辖区内养老机构的管理存在人员短缺、服务质量不高、安全管理不规范、制度不健全等问题。养老机构提供的服务质量也是参差不齐，导致有的养老机构供不应求，有的却又无人愿意入驻。国家相关标准主要提供了具体服务细节的操作，且服务项目是全国性，更具有普适性，但经过调研一是我州养老机构发展的主要瓶颈是在于管理体系建设问题，虽然对于服务如何提供，如何操作国家标准已有定义，但如何组织服务的提供，如何管理服务的效果，如何处理服务的不良结果，如何保障服务的质量，由于缺乏市场调节，很多机构是不关心以上几点的（多数为集中供养机构，政府采购，市场化程度较低）；二是，我州属于少数民族聚集区，特别是老年人，风俗习惯，受教育水平，健康情况，社会观念较其他地区差距明显，对餐饮管理、健康管理、包括日常作息的管理都提出了不同于全国普遍情况的要求，三是我州拥有丰富的苗侗医药资源，苗侗医也是我们州老年人喜闻乐见的医疗方式和养生手段，养老机构需要积极地与医疗资源融合，特别是需要将苗侗医药这种符合地方实际，具有地方特色的医疗资源与养老机构运营相结合，这是国家及省级标准没有体现的地方。为解决养老机构在运营管理上存在的问题，提升养老服务质量，满足老年人需求，解决养老机构间不平衡发展的难题，制定养老机构运营管理规范十分必要且重要。</w:t>
      </w:r>
    </w:p>
    <w:p>
      <w:pPr>
        <w:keepNext w:val="0"/>
        <w:keepLines w:val="0"/>
        <w:pageBreakBefore w:val="0"/>
        <w:widowControl w:val="0"/>
        <w:numPr>
          <w:ilvl w:val="0"/>
          <w:numId w:val="0"/>
        </w:numPr>
        <w:kinsoku/>
        <w:wordWrap/>
        <w:overflowPunct/>
        <w:topLinePunct w:val="0"/>
        <w:autoSpaceDE/>
        <w:autoSpaceDN/>
        <w:bidi w:val="0"/>
        <w:snapToGrid/>
        <w:spacing w:line="460" w:lineRule="exact"/>
        <w:ind w:leftChars="0" w:firstLine="481" w:firstLineChars="200"/>
        <w:textAlignment w:val="auto"/>
        <w:rPr>
          <w:rFonts w:hint="eastAsia" w:ascii="楷体_GB2312" w:hAnsi="楷体_GB2312" w:eastAsia="楷体_GB2312" w:cs="楷体_GB2312"/>
          <w:b/>
          <w:bCs/>
          <w:color w:val="auto"/>
          <w:sz w:val="24"/>
          <w:szCs w:val="24"/>
        </w:rPr>
      </w:pPr>
      <w:r>
        <w:rPr>
          <w:rFonts w:hint="eastAsia" w:ascii="宋体" w:hAnsi="宋体" w:eastAsia="宋体" w:cs="宋体"/>
          <w:b/>
          <w:bCs/>
          <w:color w:val="auto"/>
          <w:sz w:val="24"/>
          <w:szCs w:val="24"/>
          <w:lang w:val="en-US" w:eastAsia="zh-CN"/>
        </w:rPr>
        <w:t>（三）</w:t>
      </w:r>
      <w:r>
        <w:rPr>
          <w:rFonts w:hint="eastAsia" w:ascii="楷体_GB2312" w:hAnsi="楷体_GB2312" w:eastAsia="楷体_GB2312" w:cs="楷体_GB2312"/>
          <w:b/>
          <w:bCs/>
          <w:color w:val="auto"/>
          <w:sz w:val="24"/>
          <w:szCs w:val="24"/>
        </w:rPr>
        <w:t>主要内容</w:t>
      </w:r>
    </w:p>
    <w:p>
      <w:pPr>
        <w:keepNext w:val="0"/>
        <w:keepLines w:val="0"/>
        <w:pageBreakBefore w:val="0"/>
        <w:widowControl w:val="0"/>
        <w:kinsoku/>
        <w:wordWrap/>
        <w:overflowPunct/>
        <w:topLinePunct w:val="0"/>
        <w:autoSpaceDE/>
        <w:autoSpaceDN/>
        <w:bidi w:val="0"/>
        <w:adjustRightInd/>
        <w:snapToGrid/>
        <w:spacing w:line="460" w:lineRule="exact"/>
        <w:ind w:leftChars="0" w:firstLine="480" w:firstLineChars="200"/>
        <w:textAlignment w:val="auto"/>
        <w:rPr>
          <w:rFonts w:hint="eastAsia"/>
          <w:lang w:val="en-US" w:eastAsia="zh-CN"/>
        </w:rPr>
      </w:pPr>
      <w:r>
        <w:rPr>
          <w:rFonts w:hint="eastAsia" w:ascii="宋体" w:hAnsi="宋体" w:eastAsia="宋体" w:cs="宋体"/>
          <w:color w:val="auto"/>
          <w:sz w:val="24"/>
          <w:szCs w:val="24"/>
          <w:lang w:val="en-US" w:eastAsia="zh-CN"/>
        </w:rPr>
        <w:t>本文规定了养老机构运营管理基本要求、服务内容及要求、运营管理、评价与改进。</w:t>
      </w:r>
    </w:p>
    <w:p>
      <w:pPr>
        <w:keepNext w:val="0"/>
        <w:keepLines w:val="0"/>
        <w:pageBreakBefore w:val="0"/>
        <w:widowControl w:val="0"/>
        <w:numPr>
          <w:ilvl w:val="0"/>
          <w:numId w:val="0"/>
        </w:numPr>
        <w:kinsoku/>
        <w:wordWrap/>
        <w:overflowPunct/>
        <w:topLinePunct w:val="0"/>
        <w:autoSpaceDE/>
        <w:autoSpaceDN/>
        <w:bidi w:val="0"/>
        <w:snapToGrid/>
        <w:spacing w:line="460" w:lineRule="exact"/>
        <w:ind w:leftChars="0" w:firstLine="480" w:firstLineChars="200"/>
        <w:textAlignment w:val="auto"/>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二、工作简况</w:t>
      </w:r>
    </w:p>
    <w:p>
      <w:pPr>
        <w:pStyle w:val="11"/>
        <w:keepNext w:val="0"/>
        <w:keepLines w:val="0"/>
        <w:pageBreakBefore w:val="0"/>
        <w:kinsoku/>
        <w:wordWrap/>
        <w:overflowPunct/>
        <w:topLinePunct w:val="0"/>
        <w:autoSpaceDE/>
        <w:autoSpaceDN/>
        <w:bidi w:val="0"/>
        <w:spacing w:line="460" w:lineRule="exact"/>
        <w:ind w:left="0" w:leftChars="0" w:firstLine="481" w:firstLineChars="200"/>
        <w:rPr>
          <w:rFonts w:hint="eastAsia"/>
          <w:lang w:val="en-US" w:eastAsia="zh-CN"/>
        </w:rPr>
      </w:pPr>
      <w:r>
        <w:rPr>
          <w:rFonts w:hint="eastAsia" w:ascii="楷体_GB2312" w:hAnsi="楷体_GB2312" w:eastAsia="楷体_GB2312" w:cs="楷体_GB2312"/>
          <w:b/>
          <w:bCs/>
          <w:color w:val="auto"/>
          <w:sz w:val="24"/>
          <w:szCs w:val="24"/>
          <w:lang w:eastAsia="zh-CN"/>
        </w:rPr>
        <w:t>（一）</w:t>
      </w:r>
      <w:r>
        <w:rPr>
          <w:rFonts w:hint="eastAsia" w:ascii="楷体_GB2312" w:hAnsi="楷体_GB2312" w:eastAsia="楷体_GB2312" w:cs="楷体_GB2312"/>
          <w:b/>
          <w:bCs/>
          <w:color w:val="auto"/>
          <w:sz w:val="24"/>
          <w:szCs w:val="24"/>
        </w:rPr>
        <w:t>任务来源</w:t>
      </w:r>
    </w:p>
    <w:p>
      <w:pPr>
        <w:keepNext w:val="0"/>
        <w:keepLines w:val="0"/>
        <w:pageBreakBefore w:val="0"/>
        <w:kinsoku/>
        <w:wordWrap/>
        <w:overflowPunct/>
        <w:topLinePunct w:val="0"/>
        <w:autoSpaceDE/>
        <w:autoSpaceDN/>
        <w:bidi w:val="0"/>
        <w:spacing w:line="460" w:lineRule="exact"/>
        <w:ind w:leftChars="0" w:firstLine="480" w:firstLineChars="200"/>
        <w:rPr>
          <w:rFonts w:ascii="宋体" w:hAnsi="宋体" w:cs="宋体"/>
          <w:sz w:val="24"/>
          <w:szCs w:val="24"/>
        </w:rPr>
      </w:pPr>
      <w:r>
        <w:rPr>
          <w:rFonts w:hint="eastAsia" w:ascii="宋体" w:hAnsi="宋体" w:cs="宋体"/>
          <w:sz w:val="24"/>
          <w:szCs w:val="24"/>
        </w:rPr>
        <w:t>本文件任务来源于</w:t>
      </w:r>
      <w:r>
        <w:rPr>
          <w:rFonts w:ascii="宋体" w:hAnsi="宋体" w:cs="宋体"/>
          <w:color w:val="auto"/>
          <w:sz w:val="24"/>
          <w:szCs w:val="24"/>
        </w:rPr>
        <w:t>2024</w:t>
      </w:r>
      <w:r>
        <w:rPr>
          <w:rFonts w:hint="eastAsia" w:ascii="宋体" w:hAnsi="宋体" w:cs="宋体"/>
          <w:color w:val="auto"/>
          <w:sz w:val="24"/>
          <w:szCs w:val="24"/>
        </w:rPr>
        <w:t>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13</w:t>
      </w:r>
      <w:r>
        <w:rPr>
          <w:rFonts w:hint="eastAsia" w:ascii="宋体" w:hAnsi="宋体" w:cs="宋体"/>
          <w:color w:val="auto"/>
          <w:sz w:val="24"/>
          <w:szCs w:val="24"/>
        </w:rPr>
        <w:t>日</w:t>
      </w:r>
      <w:r>
        <w:rPr>
          <w:rFonts w:hint="eastAsia" w:ascii="宋体" w:hAnsi="宋体" w:cs="宋体"/>
          <w:sz w:val="24"/>
          <w:szCs w:val="24"/>
        </w:rPr>
        <w:t>《省市场监管局关于同意立项制定</w:t>
      </w:r>
      <w:r>
        <w:rPr>
          <w:rFonts w:hint="default" w:ascii="宋体" w:hAnsi="宋体" w:cs="宋体"/>
          <w:sz w:val="24"/>
          <w:szCs w:val="24"/>
          <w:lang w:val="en"/>
        </w:rPr>
        <w:t>&lt;</w:t>
      </w:r>
      <w:r>
        <w:rPr>
          <w:rFonts w:hint="eastAsia" w:ascii="宋体" w:hAnsi="宋体" w:cs="宋体"/>
          <w:sz w:val="24"/>
          <w:szCs w:val="24"/>
        </w:rPr>
        <w:t>养老机构运营管理指南</w:t>
      </w:r>
      <w:r>
        <w:rPr>
          <w:rFonts w:hint="default" w:ascii="宋体" w:hAnsi="宋体" w:cs="宋体"/>
          <w:sz w:val="24"/>
          <w:szCs w:val="24"/>
          <w:lang w:val="en"/>
        </w:rPr>
        <w:t>&gt;</w:t>
      </w:r>
      <w:r>
        <w:rPr>
          <w:rFonts w:hint="eastAsia" w:ascii="宋体" w:hAnsi="宋体" w:cs="宋体"/>
          <w:sz w:val="24"/>
          <w:szCs w:val="24"/>
        </w:rPr>
        <w:t>黔东南州2024年度第二批地方标准项目的批复》</w:t>
      </w:r>
      <w:r>
        <w:rPr>
          <w:rFonts w:hint="eastAsia" w:ascii="宋体" w:hAnsi="宋体" w:cs="宋体"/>
          <w:sz w:val="24"/>
          <w:szCs w:val="24"/>
          <w:lang w:eastAsia="zh-CN"/>
        </w:rPr>
        <w:t>，</w:t>
      </w:r>
      <w:r>
        <w:rPr>
          <w:rFonts w:hint="eastAsia" w:ascii="宋体" w:hAnsi="宋体" w:cs="宋体"/>
          <w:sz w:val="24"/>
          <w:szCs w:val="24"/>
        </w:rPr>
        <w:t>由黔东南州民政局</w:t>
      </w:r>
      <w:r>
        <w:rPr>
          <w:rFonts w:hint="eastAsia" w:hAnsi="宋体"/>
          <w:sz w:val="24"/>
          <w:szCs w:val="24"/>
        </w:rPr>
        <w:t>、黔东南州食品药品检验检测中心</w:t>
      </w:r>
      <w:r>
        <w:rPr>
          <w:rFonts w:hint="eastAsia" w:hAnsi="宋体"/>
          <w:sz w:val="24"/>
          <w:szCs w:val="24"/>
          <w:lang w:eastAsia="zh-CN"/>
        </w:rPr>
        <w:t>、贵州省养老服务行业协会</w:t>
      </w:r>
      <w:r>
        <w:rPr>
          <w:rFonts w:hint="eastAsia" w:ascii="宋体" w:hAnsi="宋体" w:cs="宋体"/>
          <w:sz w:val="24"/>
          <w:szCs w:val="24"/>
        </w:rPr>
        <w:t>等单位负责编制。</w:t>
      </w:r>
    </w:p>
    <w:p>
      <w:pPr>
        <w:pStyle w:val="16"/>
        <w:keepNext w:val="0"/>
        <w:keepLines w:val="0"/>
        <w:pageBreakBefore w:val="0"/>
        <w:numPr>
          <w:ilvl w:val="0"/>
          <w:numId w:val="0"/>
        </w:numPr>
        <w:kinsoku/>
        <w:wordWrap/>
        <w:overflowPunct/>
        <w:topLinePunct w:val="0"/>
        <w:autoSpaceDE/>
        <w:autoSpaceDN/>
        <w:bidi w:val="0"/>
        <w:spacing w:line="460" w:lineRule="exact"/>
        <w:ind w:leftChars="0" w:firstLine="481" w:firstLineChars="200"/>
        <w:rPr>
          <w:rFonts w:hint="eastAsia" w:ascii="楷体_GB2312" w:hAnsi="楷体_GB2312" w:eastAsia="楷体_GB2312" w:cs="楷体_GB2312"/>
          <w:b/>
          <w:bCs/>
          <w:color w:val="auto"/>
          <w:sz w:val="24"/>
          <w:szCs w:val="24"/>
        </w:rPr>
      </w:pPr>
      <w:r>
        <w:rPr>
          <w:rFonts w:hint="eastAsia" w:ascii="楷体_GB2312" w:hAnsi="楷体_GB2312" w:eastAsia="楷体_GB2312" w:cs="楷体_GB2312"/>
          <w:b/>
          <w:bCs/>
          <w:color w:val="auto"/>
          <w:sz w:val="24"/>
          <w:szCs w:val="24"/>
          <w:lang w:eastAsia="zh-CN"/>
        </w:rPr>
        <w:t>（二）</w:t>
      </w:r>
      <w:r>
        <w:rPr>
          <w:rFonts w:hint="eastAsia" w:ascii="楷体_GB2312" w:hAnsi="楷体_GB2312" w:eastAsia="楷体_GB2312" w:cs="楷体_GB2312"/>
          <w:b/>
          <w:bCs/>
          <w:color w:val="auto"/>
          <w:sz w:val="24"/>
          <w:szCs w:val="24"/>
        </w:rPr>
        <w:t>编制过程</w:t>
      </w:r>
    </w:p>
    <w:p>
      <w:pPr>
        <w:keepNext w:val="0"/>
        <w:keepLines w:val="0"/>
        <w:pageBreakBefore w:val="0"/>
        <w:widowControl w:val="0"/>
        <w:kinsoku/>
        <w:wordWrap/>
        <w:overflowPunct/>
        <w:topLinePunct w:val="0"/>
        <w:autoSpaceDE/>
        <w:autoSpaceDN/>
        <w:bidi w:val="0"/>
        <w:adjustRightInd/>
        <w:snapToGrid/>
        <w:spacing w:line="460" w:lineRule="exact"/>
        <w:ind w:leftChars="0" w:firstLine="481"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（1）组织起草阶段：</w:t>
      </w:r>
    </w:p>
    <w:p>
      <w:pPr>
        <w:keepNext w:val="0"/>
        <w:keepLines w:val="0"/>
        <w:pageBreakBefore w:val="0"/>
        <w:widowControl w:val="0"/>
        <w:kinsoku/>
        <w:wordWrap/>
        <w:overflowPunct/>
        <w:topLinePunct w:val="0"/>
        <w:autoSpaceDE/>
        <w:autoSpaceDN/>
        <w:bidi w:val="0"/>
        <w:adjustRightInd/>
        <w:snapToGrid/>
        <w:spacing w:line="460" w:lineRule="exact"/>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养老机构运营管理指南》的起草工作于2024年5月13日开始，借助起草前调研养老机构的经历，了解并分析养老机构在运营管理、提供服务等方面存在的问题，针对问题和相关的政策要求、法律法规的规定，依据国家标准和参考其他地方标准，形成本文件征求意见稿。</w:t>
      </w:r>
    </w:p>
    <w:p>
      <w:pPr>
        <w:keepNext w:val="0"/>
        <w:keepLines w:val="0"/>
        <w:pageBreakBefore w:val="0"/>
        <w:widowControl w:val="0"/>
        <w:kinsoku/>
        <w:wordWrap/>
        <w:overflowPunct/>
        <w:topLinePunct w:val="0"/>
        <w:autoSpaceDE/>
        <w:autoSpaceDN/>
        <w:bidi w:val="0"/>
        <w:adjustRightInd/>
        <w:snapToGrid/>
        <w:spacing w:line="460" w:lineRule="exact"/>
        <w:ind w:leftChars="0" w:firstLine="481"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（2）征求意见阶段：</w:t>
      </w:r>
    </w:p>
    <w:p>
      <w:pPr>
        <w:keepNext w:val="0"/>
        <w:keepLines w:val="0"/>
        <w:pageBreakBefore w:val="0"/>
        <w:kinsoku/>
        <w:wordWrap/>
        <w:overflowPunct/>
        <w:topLinePunct w:val="0"/>
        <w:autoSpaceDE/>
        <w:autoSpaceDN/>
        <w:bidi w:val="0"/>
        <w:adjustRightInd w:val="0"/>
        <w:spacing w:line="460" w:lineRule="exact"/>
        <w:ind w:leftChars="0" w:firstLine="480" w:firstLineChars="200"/>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2025年3月-4月，定向征求有关单位意见建议，收到并采纳意见建议1条。</w:t>
      </w:r>
    </w:p>
    <w:p>
      <w:pPr>
        <w:keepNext w:val="0"/>
        <w:keepLines w:val="0"/>
        <w:pageBreakBefore w:val="0"/>
        <w:kinsoku/>
        <w:wordWrap/>
        <w:overflowPunct/>
        <w:topLinePunct w:val="0"/>
        <w:autoSpaceDE/>
        <w:autoSpaceDN/>
        <w:bidi w:val="0"/>
        <w:adjustRightInd w:val="0"/>
        <w:spacing w:line="460" w:lineRule="exact"/>
        <w:ind w:leftChars="0" w:firstLine="480" w:firstLineChars="2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2025年5月,在黔东南州市场监管局网站上就标准文本和编制说明公开向社会各界征求意见，编制组组织人员前往相关企业和有关部门征求意见，结合收集的意见建议，编制组对标准文本作进一步修改</w:t>
      </w:r>
      <w:r>
        <w:rPr>
          <w:rFonts w:hint="eastAsia" w:asciiTheme="minorEastAsia" w:hAnsiTheme="minorEastAsia" w:eastAsiaTheme="minorEastAsia" w:cstheme="minorEastAsia"/>
          <w:sz w:val="24"/>
          <w:szCs w:val="24"/>
        </w:rPr>
        <w:t>、</w:t>
      </w:r>
      <w:r>
        <w:rPr>
          <w:rFonts w:hint="eastAsia" w:ascii="宋体" w:hAnsi="宋体" w:eastAsia="宋体" w:cs="宋体"/>
          <w:color w:val="auto"/>
          <w:sz w:val="24"/>
          <w:szCs w:val="24"/>
          <w:lang w:val="en-US" w:eastAsia="zh-CN"/>
        </w:rPr>
        <w:t>完善，形成《养老机构运营管理指南（送审稿）》。</w:t>
      </w:r>
    </w:p>
    <w:p>
      <w:pPr>
        <w:keepNext w:val="0"/>
        <w:keepLines w:val="0"/>
        <w:pageBreakBefore w:val="0"/>
        <w:numPr>
          <w:ilvl w:val="0"/>
          <w:numId w:val="2"/>
        </w:numPr>
        <w:kinsoku/>
        <w:wordWrap/>
        <w:overflowPunct/>
        <w:topLinePunct w:val="0"/>
        <w:autoSpaceDE/>
        <w:autoSpaceDN/>
        <w:bidi w:val="0"/>
        <w:adjustRightInd w:val="0"/>
        <w:spacing w:line="460" w:lineRule="exact"/>
        <w:ind w:leftChars="0" w:firstLine="481" w:firstLineChars="200"/>
        <w:jc w:val="left"/>
        <w:textAlignment w:val="baseline"/>
        <w:rPr>
          <w:rFonts w:hint="eastAsia" w:ascii="宋体" w:hAnsi="宋体" w:cs="宋体"/>
          <w:b/>
          <w:bCs/>
          <w:sz w:val="24"/>
          <w:szCs w:val="24"/>
        </w:rPr>
      </w:pPr>
      <w:r>
        <w:rPr>
          <w:rFonts w:hint="eastAsia" w:ascii="宋体" w:hAnsi="宋体" w:cs="宋体"/>
          <w:b/>
          <w:bCs/>
          <w:sz w:val="24"/>
          <w:szCs w:val="24"/>
        </w:rPr>
        <w:t>审查报批阶段</w:t>
      </w:r>
    </w:p>
    <w:p>
      <w:pPr>
        <w:keepNext w:val="0"/>
        <w:keepLines w:val="0"/>
        <w:pageBreakBefore w:val="0"/>
        <w:kinsoku/>
        <w:wordWrap/>
        <w:overflowPunct/>
        <w:topLinePunct w:val="0"/>
        <w:autoSpaceDE/>
        <w:autoSpaceDN/>
        <w:bidi w:val="0"/>
        <w:spacing w:line="460" w:lineRule="exact"/>
        <w:ind w:leftChars="0" w:firstLine="480" w:firstLineChars="200"/>
        <w:rPr>
          <w:rFonts w:hint="eastAsia" w:ascii="宋体" w:hAnsi="宋体" w:cs="宋体"/>
          <w:sz w:val="24"/>
          <w:szCs w:val="24"/>
        </w:rPr>
      </w:pPr>
      <w:r>
        <w:rPr>
          <w:rFonts w:ascii="宋体" w:hAnsi="宋体" w:cs="宋体"/>
          <w:sz w:val="24"/>
          <w:szCs w:val="24"/>
        </w:rPr>
        <w:t>202</w:t>
      </w:r>
      <w:r>
        <w:rPr>
          <w:rFonts w:hint="eastAsia" w:ascii="宋体" w:hAnsi="宋体" w:cs="宋体"/>
          <w:sz w:val="24"/>
          <w:szCs w:val="24"/>
          <w:lang w:val="en-US" w:eastAsia="zh-CN"/>
        </w:rPr>
        <w:t>5</w:t>
      </w:r>
      <w:r>
        <w:rPr>
          <w:rFonts w:hint="eastAsia" w:ascii="宋体" w:hAnsi="宋体" w:cs="宋体"/>
          <w:sz w:val="24"/>
          <w:szCs w:val="24"/>
        </w:rPr>
        <w:t>年</w:t>
      </w:r>
      <w:r>
        <w:rPr>
          <w:rFonts w:ascii="宋体" w:hAnsi="宋体" w:cs="宋体"/>
          <w:sz w:val="24"/>
          <w:szCs w:val="24"/>
        </w:rPr>
        <w:t>X</w:t>
      </w:r>
      <w:r>
        <w:rPr>
          <w:rFonts w:hint="eastAsia" w:ascii="宋体" w:hAnsi="宋体" w:cs="宋体"/>
          <w:sz w:val="24"/>
          <w:szCs w:val="24"/>
        </w:rPr>
        <w:t>月</w:t>
      </w:r>
      <w:r>
        <w:rPr>
          <w:rFonts w:ascii="宋体" w:hAnsi="宋体" w:cs="宋体"/>
          <w:sz w:val="24"/>
          <w:szCs w:val="24"/>
        </w:rPr>
        <w:t>X</w:t>
      </w:r>
      <w:r>
        <w:rPr>
          <w:rFonts w:hint="eastAsia" w:ascii="宋体" w:hAnsi="宋体" w:cs="宋体"/>
          <w:sz w:val="24"/>
          <w:szCs w:val="24"/>
        </w:rPr>
        <w:t>日，黔东南州市场监管局组织专家对本文件进行技术审查。标准编制组根据专家的提出的意见和建议，进一步修改完善，形成《</w:t>
      </w:r>
      <w:r>
        <w:rPr>
          <w:rFonts w:hint="eastAsia" w:ascii="宋体" w:hAnsi="宋体" w:eastAsia="宋体" w:cs="宋体"/>
          <w:color w:val="auto"/>
          <w:sz w:val="24"/>
          <w:szCs w:val="24"/>
          <w:lang w:val="en-US" w:eastAsia="zh-CN"/>
        </w:rPr>
        <w:t>养老机构运营管理指南</w:t>
      </w:r>
      <w:r>
        <w:rPr>
          <w:rFonts w:hint="eastAsia" w:ascii="宋体" w:hAnsi="宋体" w:cs="宋体"/>
          <w:sz w:val="24"/>
          <w:szCs w:val="24"/>
        </w:rPr>
        <w:t>》文本和编制说明（报批稿）。呈请行业主管部门审核同意后，报黔东南州市场监管局批准发布。</w:t>
      </w:r>
    </w:p>
    <w:p>
      <w:pPr>
        <w:numPr>
          <w:ilvl w:val="0"/>
          <w:numId w:val="3"/>
        </w:numPr>
        <w:adjustRightInd w:val="0"/>
        <w:spacing w:line="460" w:lineRule="atLeast"/>
        <w:textAlignment w:val="baseline"/>
        <w:rPr>
          <w:rFonts w:hint="eastAsia" w:ascii="楷体" w:hAnsi="楷体" w:eastAsia="楷体" w:cs="楷体"/>
          <w:b/>
          <w:bCs/>
          <w:kern w:val="0"/>
          <w:sz w:val="24"/>
          <w:szCs w:val="24"/>
        </w:rPr>
      </w:pPr>
      <w:r>
        <w:rPr>
          <w:rFonts w:hint="eastAsia" w:ascii="楷体" w:hAnsi="楷体" w:eastAsia="楷体" w:cs="楷体"/>
          <w:b/>
          <w:bCs/>
          <w:kern w:val="0"/>
          <w:sz w:val="24"/>
          <w:szCs w:val="24"/>
        </w:rPr>
        <w:t>主要起草人及其工作分工</w:t>
      </w:r>
    </w:p>
    <w:p>
      <w:pPr>
        <w:adjustRightInd w:val="0"/>
        <w:spacing w:line="460" w:lineRule="atLeast"/>
        <w:ind w:left="360"/>
        <w:jc w:val="center"/>
        <w:textAlignment w:val="baseline"/>
        <w:rPr>
          <w:rFonts w:hint="eastAsia" w:ascii="黑体" w:hAnsi="黑体" w:eastAsia="黑体" w:cs="黑体"/>
          <w:kern w:val="0"/>
          <w:sz w:val="24"/>
          <w:szCs w:val="24"/>
        </w:rPr>
      </w:pPr>
      <w:r>
        <w:rPr>
          <w:rFonts w:hint="eastAsia" w:ascii="黑体" w:hAnsi="黑体" w:eastAsia="黑体" w:cs="黑体"/>
          <w:kern w:val="0"/>
          <w:sz w:val="24"/>
          <w:szCs w:val="24"/>
        </w:rPr>
        <w:t>表1 主要起草人及其分工表</w:t>
      </w:r>
    </w:p>
    <w:tbl>
      <w:tblPr>
        <w:tblStyle w:val="12"/>
        <w:tblpPr w:leftFromText="180" w:rightFromText="180" w:vertAnchor="text" w:horzAnchor="page" w:tblpX="1960" w:tblpY="49"/>
        <w:tblOverlap w:val="never"/>
        <w:tblW w:w="8959" w:type="dxa"/>
        <w:tblInd w:w="-255" w:type="dxa"/>
        <w:tblLayout w:type="fixed"/>
        <w:tblCellMar>
          <w:top w:w="0" w:type="dxa"/>
          <w:left w:w="108" w:type="dxa"/>
          <w:bottom w:w="0" w:type="dxa"/>
          <w:right w:w="108" w:type="dxa"/>
        </w:tblCellMar>
      </w:tblPr>
      <w:tblGrid>
        <w:gridCol w:w="2206"/>
        <w:gridCol w:w="1545"/>
        <w:gridCol w:w="1505"/>
        <w:gridCol w:w="3703"/>
      </w:tblGrid>
      <w:tr>
        <w:tblPrEx>
          <w:tblCellMar>
            <w:top w:w="0" w:type="dxa"/>
            <w:left w:w="108" w:type="dxa"/>
            <w:bottom w:w="0" w:type="dxa"/>
            <w:right w:w="108" w:type="dxa"/>
          </w:tblCellMar>
        </w:tblPrEx>
        <w:trPr>
          <w:trHeight w:val="1281" w:hRule="atLeast"/>
          <w:tblHeader/>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b/>
                <w:kern w:val="0"/>
              </w:rPr>
            </w:pPr>
            <w:r>
              <w:rPr>
                <w:rFonts w:hint="eastAsia" w:ascii="宋体" w:hAnsi="宋体" w:cs="宋体"/>
                <w:b/>
                <w:kern w:val="0"/>
              </w:rPr>
              <w:t>主要起草单位</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b/>
                <w:kern w:val="0"/>
              </w:rPr>
            </w:pPr>
            <w:r>
              <w:rPr>
                <w:rFonts w:hint="eastAsia" w:ascii="宋体" w:hAnsi="宋体" w:cs="宋体"/>
                <w:b/>
                <w:kern w:val="0"/>
              </w:rPr>
              <w:t>主要起草</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b/>
                <w:kern w:val="0"/>
              </w:rPr>
            </w:pPr>
            <w:r>
              <w:rPr>
                <w:rFonts w:hint="eastAsia" w:ascii="宋体" w:hAnsi="宋体" w:cs="宋体"/>
                <w:b/>
                <w:kern w:val="0"/>
              </w:rPr>
              <w:t>人员</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b/>
                <w:kern w:val="0"/>
              </w:rPr>
            </w:pPr>
            <w:r>
              <w:rPr>
                <w:rFonts w:hint="eastAsia" w:ascii="宋体" w:hAnsi="宋体" w:cs="宋体"/>
                <w:b/>
                <w:kern w:val="0"/>
              </w:rPr>
              <w:t>职称/职务</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b/>
                <w:kern w:val="0"/>
              </w:rPr>
            </w:pPr>
            <w:r>
              <w:rPr>
                <w:rFonts w:hint="eastAsia" w:ascii="宋体" w:hAnsi="宋体" w:cs="宋体"/>
                <w:b/>
                <w:kern w:val="0"/>
              </w:rPr>
              <w:t>任务分工</w:t>
            </w:r>
          </w:p>
        </w:tc>
      </w:tr>
      <w:tr>
        <w:tblPrEx>
          <w:tblCellMar>
            <w:top w:w="0" w:type="dxa"/>
            <w:left w:w="108" w:type="dxa"/>
            <w:bottom w:w="0" w:type="dxa"/>
            <w:right w:w="108" w:type="dxa"/>
          </w:tblCellMar>
        </w:tblPrEx>
        <w:trPr>
          <w:trHeight w:val="825"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asciiTheme="minorEastAsia" w:hAnsiTheme="minorEastAsia" w:eastAsiaTheme="minorEastAsia" w:cstheme="minorEastAsia"/>
                <w:b w:val="0"/>
                <w:bCs w:val="0"/>
                <w:color w:val="auto"/>
                <w:sz w:val="21"/>
                <w:szCs w:val="21"/>
                <w:vertAlign w:val="baseline"/>
                <w:lang w:val="en-US" w:eastAsia="zh-CN"/>
              </w:rPr>
              <w:t>黔东南州民政局</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color w:val="auto"/>
                <w:lang w:eastAsia="zh-CN"/>
              </w:rPr>
              <w:t>徐秀文</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asciiTheme="minorEastAsia" w:hAnsiTheme="minorEastAsia" w:eastAsiaTheme="minorEastAsia" w:cstheme="minorEastAsia"/>
                <w:b w:val="0"/>
                <w:bCs w:val="0"/>
                <w:color w:val="auto"/>
                <w:sz w:val="21"/>
                <w:szCs w:val="21"/>
                <w:vertAlign w:val="baseline"/>
                <w:lang w:val="en-US" w:eastAsia="zh-CN"/>
              </w:rPr>
              <w:t>科长</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rPr>
            </w:pPr>
            <w:r>
              <w:rPr>
                <w:rFonts w:hint="eastAsia" w:asciiTheme="minorEastAsia" w:hAnsiTheme="minorEastAsia" w:eastAsiaTheme="minorEastAsia" w:cstheme="minorEastAsia"/>
                <w:b w:val="0"/>
                <w:bCs w:val="0"/>
                <w:color w:val="auto"/>
                <w:sz w:val="21"/>
                <w:szCs w:val="21"/>
                <w:vertAlign w:val="baseline"/>
                <w:lang w:val="en-US" w:eastAsia="zh-CN"/>
              </w:rPr>
              <w:t>项目负责，制定工作计划，产区调研，编制标准文本及编制说明</w:t>
            </w:r>
          </w:p>
        </w:tc>
      </w:tr>
      <w:tr>
        <w:tblPrEx>
          <w:tblCellMar>
            <w:top w:w="0" w:type="dxa"/>
            <w:left w:w="108" w:type="dxa"/>
            <w:bottom w:w="0" w:type="dxa"/>
            <w:right w:w="108" w:type="dxa"/>
          </w:tblCellMar>
        </w:tblPrEx>
        <w:trPr>
          <w:trHeight w:val="825"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asciiTheme="minorEastAsia" w:hAnsiTheme="minorEastAsia" w:eastAsiaTheme="minorEastAsia" w:cstheme="minorEastAsia"/>
                <w:b w:val="0"/>
                <w:bCs w:val="0"/>
                <w:color w:val="auto"/>
                <w:sz w:val="21"/>
                <w:szCs w:val="21"/>
                <w:vertAlign w:val="baseline"/>
                <w:lang w:val="en-US" w:eastAsia="zh-CN"/>
              </w:rPr>
              <w:t>黔东南州民政局</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color w:val="auto"/>
                <w:lang w:eastAsia="zh-CN"/>
              </w:rPr>
              <w:t>文周琴</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asciiTheme="minorEastAsia" w:hAnsiTheme="minorEastAsia" w:eastAsiaTheme="minorEastAsia" w:cstheme="minorEastAsia"/>
                <w:b w:val="0"/>
                <w:bCs w:val="0"/>
                <w:color w:val="auto"/>
                <w:sz w:val="21"/>
                <w:szCs w:val="21"/>
                <w:vertAlign w:val="baseline"/>
                <w:lang w:val="en-US" w:eastAsia="zh-CN"/>
              </w:rPr>
              <w:t>副科长</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rPr>
            </w:pPr>
            <w:r>
              <w:rPr>
                <w:rFonts w:hint="eastAsia" w:asciiTheme="minorEastAsia" w:hAnsiTheme="minorEastAsia" w:eastAsiaTheme="minorEastAsia" w:cstheme="minorEastAsia"/>
                <w:b w:val="0"/>
                <w:bCs w:val="0"/>
                <w:color w:val="auto"/>
                <w:sz w:val="21"/>
                <w:szCs w:val="21"/>
                <w:vertAlign w:val="baseline"/>
                <w:lang w:val="en-US" w:eastAsia="zh-CN"/>
              </w:rPr>
              <w:t>标准资料收集、负责调研技术以及标准编制</w:t>
            </w:r>
          </w:p>
        </w:tc>
      </w:tr>
      <w:tr>
        <w:tblPrEx>
          <w:tblCellMar>
            <w:top w:w="0" w:type="dxa"/>
            <w:left w:w="108" w:type="dxa"/>
            <w:bottom w:w="0" w:type="dxa"/>
            <w:right w:w="108" w:type="dxa"/>
          </w:tblCellMar>
        </w:tblPrEx>
        <w:trPr>
          <w:trHeight w:val="825" w:hRule="atLeast"/>
        </w:trPr>
        <w:tc>
          <w:tcPr>
            <w:tcW w:w="220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kern w:val="2"/>
                <w:sz w:val="21"/>
                <w:szCs w:val="21"/>
                <w:lang w:val="en-US" w:eastAsia="zh-CN" w:bidi="ar-SA"/>
              </w:rPr>
            </w:pPr>
            <w:r>
              <w:rPr>
                <w:rFonts w:hint="eastAsia" w:hAnsi="宋体"/>
                <w:sz w:val="24"/>
                <w:szCs w:val="24"/>
              </w:rPr>
              <w:t>黔东南州食品药品检验检测中心</w:t>
            </w:r>
          </w:p>
        </w:tc>
        <w:tc>
          <w:tcPr>
            <w:tcW w:w="154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kern w:val="2"/>
                <w:sz w:val="21"/>
                <w:szCs w:val="21"/>
                <w:lang w:val="en-US" w:eastAsia="zh-CN" w:bidi="ar-SA"/>
              </w:rPr>
            </w:pPr>
            <w:r>
              <w:rPr>
                <w:rFonts w:hint="eastAsia"/>
                <w:lang w:val="en-US" w:eastAsia="zh-CN"/>
              </w:rPr>
              <w:t>张廷辉</w:t>
            </w:r>
          </w:p>
        </w:tc>
        <w:tc>
          <w:tcPr>
            <w:tcW w:w="150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kern w:val="2"/>
                <w:sz w:val="21"/>
                <w:szCs w:val="21"/>
                <w:lang w:val="en-US" w:eastAsia="zh-CN" w:bidi="ar-SA"/>
              </w:rPr>
            </w:pPr>
            <w:r>
              <w:rPr>
                <w:rFonts w:hint="eastAsia" w:asciiTheme="minorEastAsia" w:hAnsiTheme="minorEastAsia" w:eastAsiaTheme="minorEastAsia" w:cstheme="minorEastAsia"/>
                <w:b w:val="0"/>
                <w:bCs w:val="0"/>
                <w:color w:val="auto"/>
                <w:sz w:val="21"/>
                <w:szCs w:val="21"/>
                <w:vertAlign w:val="baseline"/>
                <w:lang w:val="en-US" w:eastAsia="zh-CN"/>
              </w:rPr>
              <w:t>工程师</w:t>
            </w:r>
          </w:p>
        </w:tc>
        <w:tc>
          <w:tcPr>
            <w:tcW w:w="370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kern w:val="2"/>
                <w:sz w:val="21"/>
                <w:szCs w:val="21"/>
                <w:lang w:val="en-US" w:eastAsia="zh-CN" w:bidi="ar-SA"/>
              </w:rPr>
            </w:pPr>
            <w:r>
              <w:rPr>
                <w:rFonts w:hint="eastAsia" w:cs="Times New Roman"/>
              </w:rPr>
              <w:t>标准编写、调研以及资料收集</w:t>
            </w:r>
          </w:p>
        </w:tc>
      </w:tr>
      <w:tr>
        <w:tblPrEx>
          <w:tblCellMar>
            <w:top w:w="0" w:type="dxa"/>
            <w:left w:w="108" w:type="dxa"/>
            <w:bottom w:w="0" w:type="dxa"/>
            <w:right w:w="108" w:type="dxa"/>
          </w:tblCellMar>
        </w:tblPrEx>
        <w:trPr>
          <w:trHeight w:val="825"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黔东南州民政局</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lang w:val="en-US" w:eastAsia="zh-CN"/>
              </w:rPr>
              <w:t>李江湖</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ascii="宋体" w:hAnsi="宋体" w:eastAsia="宋体" w:cs="宋体"/>
                <w:b w:val="0"/>
                <w:bCs/>
                <w:sz w:val="21"/>
                <w:szCs w:val="21"/>
                <w:lang w:val="en-US" w:eastAsia="zh-CN"/>
              </w:rPr>
              <w:t>主任</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rPr>
            </w:pPr>
            <w:r>
              <w:rPr>
                <w:rFonts w:hint="eastAsia" w:cs="Times New Roman"/>
              </w:rPr>
              <w:t>标准编写、资料收集</w:t>
            </w:r>
          </w:p>
        </w:tc>
      </w:tr>
      <w:tr>
        <w:tblPrEx>
          <w:tblCellMar>
            <w:top w:w="0" w:type="dxa"/>
            <w:left w:w="108" w:type="dxa"/>
            <w:bottom w:w="0" w:type="dxa"/>
            <w:right w:w="108" w:type="dxa"/>
          </w:tblCellMar>
        </w:tblPrEx>
        <w:trPr>
          <w:trHeight w:val="825"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cs="Times New Roman"/>
                <w:lang w:eastAsia="zh-CN"/>
              </w:rPr>
            </w:pPr>
            <w:r>
              <w:rPr>
                <w:rFonts w:hint="eastAsia"/>
                <w:color w:val="auto"/>
                <w:lang w:eastAsia="zh-CN"/>
              </w:rPr>
              <w:t>贵州省养老服务行业协会</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lang w:val="en-US" w:eastAsia="zh-CN"/>
              </w:rPr>
              <w:t>李佳欣</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lang w:eastAsia="zh-CN"/>
              </w:rPr>
            </w:pPr>
            <w:r>
              <w:rPr>
                <w:rFonts w:hint="eastAsia" w:asciiTheme="minorEastAsia" w:hAnsiTheme="minorEastAsia" w:eastAsiaTheme="minorEastAsia" w:cstheme="minorEastAsia"/>
                <w:b w:val="0"/>
                <w:bCs w:val="0"/>
                <w:color w:val="auto"/>
                <w:sz w:val="21"/>
                <w:szCs w:val="21"/>
                <w:vertAlign w:val="baseline"/>
                <w:lang w:val="en-US" w:eastAsia="zh-CN"/>
              </w:rPr>
              <w:t>秘书长</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sz w:val="21"/>
                <w:szCs w:val="21"/>
              </w:rPr>
            </w:pPr>
            <w:r>
              <w:rPr>
                <w:rFonts w:hint="eastAsia" w:cs="Times New Roman"/>
              </w:rPr>
              <w:t>标准编写、调研以及资料收集</w:t>
            </w:r>
          </w:p>
        </w:tc>
      </w:tr>
      <w:tr>
        <w:tblPrEx>
          <w:tblCellMar>
            <w:top w:w="0" w:type="dxa"/>
            <w:left w:w="108" w:type="dxa"/>
            <w:bottom w:w="0" w:type="dxa"/>
            <w:right w:w="108" w:type="dxa"/>
          </w:tblCellMar>
        </w:tblPrEx>
        <w:trPr>
          <w:trHeight w:val="434"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黔东南州民政局</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李金芝</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工作人员</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协调工作</w:t>
            </w:r>
          </w:p>
        </w:tc>
      </w:tr>
      <w:tr>
        <w:tblPrEx>
          <w:tblCellMar>
            <w:top w:w="0" w:type="dxa"/>
            <w:left w:w="108" w:type="dxa"/>
            <w:bottom w:w="0" w:type="dxa"/>
            <w:right w:w="108" w:type="dxa"/>
          </w:tblCellMar>
        </w:tblPrEx>
        <w:trPr>
          <w:trHeight w:val="424"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省养老服务行业协会</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蔡斌</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特聘专家</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专家建议</w:t>
            </w:r>
          </w:p>
        </w:tc>
      </w:tr>
      <w:tr>
        <w:tblPrEx>
          <w:tblCellMar>
            <w:top w:w="0" w:type="dxa"/>
            <w:left w:w="108" w:type="dxa"/>
            <w:bottom w:w="0" w:type="dxa"/>
            <w:right w:w="108" w:type="dxa"/>
          </w:tblCellMar>
        </w:tblPrEx>
        <w:trPr>
          <w:trHeight w:val="434"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省养老服务行业协会</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张秀云</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研究员</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调研资料收集</w:t>
            </w:r>
          </w:p>
        </w:tc>
      </w:tr>
      <w:tr>
        <w:tblPrEx>
          <w:tblCellMar>
            <w:top w:w="0" w:type="dxa"/>
            <w:left w:w="108" w:type="dxa"/>
            <w:bottom w:w="0" w:type="dxa"/>
            <w:right w:w="108" w:type="dxa"/>
          </w:tblCellMar>
        </w:tblPrEx>
        <w:trPr>
          <w:trHeight w:val="434"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省养老服务行业协会</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潘玉芝</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研究员</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数据采集</w:t>
            </w:r>
          </w:p>
        </w:tc>
      </w:tr>
      <w:tr>
        <w:tblPrEx>
          <w:tblCellMar>
            <w:top w:w="0" w:type="dxa"/>
            <w:left w:w="108" w:type="dxa"/>
            <w:bottom w:w="0" w:type="dxa"/>
            <w:right w:w="108" w:type="dxa"/>
          </w:tblCellMar>
        </w:tblPrEx>
        <w:trPr>
          <w:trHeight w:val="459" w:hRule="atLeast"/>
        </w:trPr>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省养老服务行业协会</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莫子配</w:t>
            </w:r>
          </w:p>
        </w:tc>
        <w:tc>
          <w:tcPr>
            <w:tcW w:w="15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研究员</w:t>
            </w:r>
          </w:p>
        </w:tc>
        <w:tc>
          <w:tcPr>
            <w:tcW w:w="37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00" w:lineRule="exact"/>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撰稿</w:t>
            </w:r>
          </w:p>
        </w:tc>
      </w:tr>
    </w:tbl>
    <w:p>
      <w:pPr>
        <w:pStyle w:val="11"/>
      </w:pPr>
    </w:p>
    <w:p>
      <w:pPr>
        <w:keepNext w:val="0"/>
        <w:keepLines w:val="0"/>
        <w:pageBreakBefore w:val="0"/>
        <w:numPr>
          <w:ilvl w:val="0"/>
          <w:numId w:val="0"/>
        </w:numPr>
        <w:kinsoku/>
        <w:wordWrap/>
        <w:overflowPunct/>
        <w:topLinePunct w:val="0"/>
        <w:autoSpaceDE/>
        <w:autoSpaceDN/>
        <w:bidi w:val="0"/>
        <w:snapToGrid/>
        <w:spacing w:line="460" w:lineRule="exact"/>
        <w:ind w:leftChars="200"/>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eastAsia="zh-CN"/>
        </w:rPr>
        <w:t>三、</w:t>
      </w:r>
      <w:r>
        <w:rPr>
          <w:rFonts w:hint="eastAsia" w:ascii="黑体" w:hAnsi="黑体" w:eastAsia="黑体" w:cs="黑体"/>
          <w:b w:val="0"/>
          <w:bCs w:val="0"/>
          <w:color w:val="auto"/>
          <w:sz w:val="24"/>
          <w:szCs w:val="24"/>
        </w:rPr>
        <w:t>主要条款的说明及确定依据</w:t>
      </w:r>
    </w:p>
    <w:p>
      <w:pPr>
        <w:keepNext w:val="0"/>
        <w:keepLines w:val="0"/>
        <w:pageBreakBefore w:val="0"/>
        <w:kinsoku/>
        <w:wordWrap/>
        <w:overflowPunct/>
        <w:topLinePunct w:val="0"/>
        <w:autoSpaceDE/>
        <w:autoSpaceDN/>
        <w:bidi w:val="0"/>
        <w:adjustRightInd w:val="0"/>
        <w:snapToGrid/>
        <w:spacing w:line="460" w:lineRule="exact"/>
        <w:ind w:firstLine="481" w:firstLineChars="200"/>
        <w:textAlignment w:val="baseline"/>
        <w:rPr>
          <w:rFonts w:hint="eastAsia" w:ascii="楷体" w:hAnsi="楷体" w:eastAsia="楷体" w:cs="楷体"/>
          <w:b/>
          <w:bCs/>
          <w:kern w:val="0"/>
          <w:sz w:val="24"/>
          <w:szCs w:val="24"/>
        </w:rPr>
      </w:pPr>
      <w:r>
        <w:rPr>
          <w:rFonts w:hint="eastAsia" w:ascii="楷体" w:hAnsi="楷体" w:eastAsia="楷体" w:cs="楷体"/>
          <w:b/>
          <w:bCs/>
          <w:kern w:val="0"/>
          <w:sz w:val="24"/>
          <w:szCs w:val="24"/>
        </w:rPr>
        <w:t>（一）编制的原则</w:t>
      </w:r>
    </w:p>
    <w:p>
      <w:pPr>
        <w:pStyle w:val="16"/>
        <w:keepNext w:val="0"/>
        <w:keepLines w:val="0"/>
        <w:pageBreakBefore w:val="0"/>
        <w:tabs>
          <w:tab w:val="left" w:pos="1440"/>
        </w:tabs>
        <w:kinsoku/>
        <w:wordWrap/>
        <w:overflowPunct/>
        <w:topLinePunct w:val="0"/>
        <w:autoSpaceDE/>
        <w:autoSpaceDN/>
        <w:bidi w:val="0"/>
        <w:snapToGrid/>
        <w:spacing w:line="460" w:lineRule="exact"/>
        <w:ind w:firstLine="480" w:firstLineChars="200"/>
        <w:rPr>
          <w:rFonts w:hint="eastAsia" w:hAnsi="宋体" w:cs="宋体"/>
          <w:sz w:val="24"/>
          <w:szCs w:val="24"/>
        </w:rPr>
      </w:pPr>
      <w:r>
        <w:rPr>
          <w:rFonts w:hint="eastAsia" w:hAnsi="宋体" w:cs="宋体"/>
          <w:sz w:val="24"/>
          <w:szCs w:val="24"/>
        </w:rPr>
        <w:t>1、准确性。标准所规定的条款明确且无歧义。</w:t>
      </w:r>
    </w:p>
    <w:p>
      <w:pPr>
        <w:keepNext w:val="0"/>
        <w:keepLines w:val="0"/>
        <w:pageBreakBefore w:val="0"/>
        <w:kinsoku/>
        <w:wordWrap/>
        <w:overflowPunct/>
        <w:topLinePunct w:val="0"/>
        <w:autoSpaceDE/>
        <w:autoSpaceDN/>
        <w:bidi w:val="0"/>
        <w:snapToGrid/>
        <w:spacing w:line="460" w:lineRule="exact"/>
        <w:ind w:firstLine="480" w:firstLineChars="200"/>
        <w:rPr>
          <w:rFonts w:hint="eastAsia" w:ascii="宋体" w:hAnsi="宋体" w:cs="宋体"/>
          <w:b/>
          <w:bCs/>
          <w:sz w:val="24"/>
          <w:szCs w:val="24"/>
        </w:rPr>
      </w:pPr>
      <w:r>
        <w:rPr>
          <w:rFonts w:hint="eastAsia" w:ascii="宋体" w:hAnsi="宋体" w:cs="宋体"/>
          <w:sz w:val="24"/>
          <w:szCs w:val="24"/>
        </w:rPr>
        <w:t>2、统一性。标准结构、文体和术语力求统一。本文件在编制过程中涉及其结构、编写规则和内容按照GB/T 1.1-2020《标准化工作导则 第1部分：标准化文件的结构和起草规则》要求编制。</w:t>
      </w:r>
    </w:p>
    <w:p>
      <w:pPr>
        <w:pStyle w:val="16"/>
        <w:keepNext w:val="0"/>
        <w:keepLines w:val="0"/>
        <w:pageBreakBefore w:val="0"/>
        <w:kinsoku/>
        <w:wordWrap/>
        <w:overflowPunct/>
        <w:topLinePunct w:val="0"/>
        <w:autoSpaceDE/>
        <w:autoSpaceDN/>
        <w:bidi w:val="0"/>
        <w:snapToGrid/>
        <w:spacing w:line="460" w:lineRule="exact"/>
        <w:ind w:firstLine="480" w:firstLineChars="200"/>
        <w:rPr>
          <w:rFonts w:hint="eastAsia" w:hAnsi="宋体" w:cs="宋体"/>
          <w:sz w:val="24"/>
          <w:szCs w:val="24"/>
        </w:rPr>
      </w:pPr>
      <w:r>
        <w:rPr>
          <w:rFonts w:hint="eastAsia" w:hAnsi="宋体" w:cs="宋体"/>
          <w:sz w:val="24"/>
          <w:szCs w:val="24"/>
        </w:rPr>
        <w:t>3、协调性。充分结合现有基础标准的有关条款，达到标准间的相互协调。</w:t>
      </w:r>
    </w:p>
    <w:p>
      <w:pPr>
        <w:pStyle w:val="16"/>
        <w:keepNext w:val="0"/>
        <w:keepLines w:val="0"/>
        <w:pageBreakBefore w:val="0"/>
        <w:kinsoku/>
        <w:wordWrap/>
        <w:overflowPunct/>
        <w:topLinePunct w:val="0"/>
        <w:autoSpaceDE/>
        <w:autoSpaceDN/>
        <w:bidi w:val="0"/>
        <w:snapToGrid/>
        <w:spacing w:line="460" w:lineRule="exact"/>
        <w:ind w:firstLine="480" w:firstLineChars="200"/>
        <w:rPr>
          <w:rFonts w:hint="eastAsia" w:hAnsi="宋体" w:cs="宋体"/>
          <w:sz w:val="24"/>
          <w:szCs w:val="24"/>
        </w:rPr>
      </w:pPr>
      <w:r>
        <w:rPr>
          <w:rFonts w:hint="eastAsia" w:hAnsi="宋体" w:cs="宋体"/>
          <w:sz w:val="24"/>
          <w:szCs w:val="24"/>
        </w:rPr>
        <w:t>4、适用性。标准内容易于实施，便于被其它文件所引用且具可操作性。</w:t>
      </w:r>
      <w:r>
        <w:rPr>
          <w:rFonts w:hint="eastAsia" w:hAnsi="宋体" w:cs="宋体"/>
          <w:kern w:val="2"/>
          <w:sz w:val="24"/>
          <w:szCs w:val="24"/>
        </w:rPr>
        <w:t>同时本标准进行了大量实地调查研究，在管理实践验证的基础上编制出来的。</w:t>
      </w:r>
      <w:r>
        <w:rPr>
          <w:rFonts w:hint="eastAsia" w:hAnsi="宋体" w:cs="宋体"/>
          <w:sz w:val="24"/>
          <w:szCs w:val="24"/>
        </w:rPr>
        <w:t>标准实用性和可操作性强，基层管理工作者都能看得懂，并且能按照标准规定进行实际操作。</w:t>
      </w:r>
    </w:p>
    <w:p>
      <w:pPr>
        <w:pStyle w:val="16"/>
        <w:keepNext w:val="0"/>
        <w:keepLines w:val="0"/>
        <w:pageBreakBefore w:val="0"/>
        <w:kinsoku/>
        <w:wordWrap/>
        <w:overflowPunct/>
        <w:topLinePunct w:val="0"/>
        <w:autoSpaceDE/>
        <w:autoSpaceDN/>
        <w:bidi w:val="0"/>
        <w:snapToGrid/>
        <w:spacing w:line="460" w:lineRule="exact"/>
        <w:ind w:firstLine="480" w:firstLineChars="200"/>
        <w:rPr>
          <w:rFonts w:hint="eastAsia"/>
          <w:color w:val="auto"/>
          <w:lang w:val="en-US" w:eastAsia="zh-CN"/>
        </w:rPr>
      </w:pPr>
      <w:r>
        <w:rPr>
          <w:rFonts w:hint="eastAsia" w:hAnsi="宋体" w:cs="宋体"/>
          <w:color w:val="auto"/>
          <w:sz w:val="24"/>
          <w:szCs w:val="24"/>
        </w:rPr>
        <w:t>5、特殊性。本文件遵循相关国家标准和地方标准的要求，</w:t>
      </w:r>
      <w:r>
        <w:rPr>
          <w:rFonts w:hint="eastAsia" w:ascii="宋体" w:hAnsi="宋体" w:eastAsia="宋体" w:cs="宋体"/>
          <w:color w:val="auto"/>
          <w:sz w:val="24"/>
          <w:szCs w:val="24"/>
          <w:lang w:val="en-US" w:eastAsia="zh-CN"/>
        </w:rPr>
        <w:t>我州拥有丰富的苗侗医药资源，苗侗医也是我们州老年人喜闻乐见的医疗方式和养生手段，养老机构需要积极地与医疗资源融合，特别是需要将苗侗医药这种符合地方实际，具有地方特色的医疗资源与养老机构运营相结合，这是国家及省级标准没有体现的地方。为解决养老机构在运营管理上存在的问题，提升养老服务质量，满足老年人需求，解决养老机构间不平衡发展的难题</w:t>
      </w:r>
      <w:r>
        <w:rPr>
          <w:rFonts w:hint="eastAsia" w:hAnsi="宋体" w:cs="宋体"/>
          <w:color w:val="auto"/>
          <w:sz w:val="24"/>
          <w:szCs w:val="24"/>
        </w:rPr>
        <w:t>具有重要意义。</w:t>
      </w:r>
    </w:p>
    <w:p>
      <w:pPr>
        <w:keepNext w:val="0"/>
        <w:keepLines w:val="0"/>
        <w:pageBreakBefore w:val="0"/>
        <w:numPr>
          <w:ilvl w:val="0"/>
          <w:numId w:val="0"/>
        </w:numPr>
        <w:kinsoku/>
        <w:wordWrap/>
        <w:overflowPunct/>
        <w:topLinePunct w:val="0"/>
        <w:autoSpaceDE/>
        <w:autoSpaceDN/>
        <w:bidi w:val="0"/>
        <w:snapToGrid/>
        <w:spacing w:line="460" w:lineRule="exact"/>
        <w:ind w:firstLine="481" w:firstLineChars="200"/>
        <w:rPr>
          <w:rFonts w:hint="eastAsia" w:ascii="楷体_GB2312" w:hAnsi="楷体_GB2312" w:eastAsia="楷体_GB2312" w:cs="楷体_GB2312"/>
          <w:b/>
          <w:bCs/>
          <w:color w:val="auto"/>
          <w:kern w:val="0"/>
          <w:sz w:val="24"/>
          <w:szCs w:val="24"/>
          <w:lang w:eastAsia="zh-CN"/>
        </w:rPr>
      </w:pPr>
      <w:r>
        <w:rPr>
          <w:rFonts w:hint="eastAsia" w:ascii="楷体_GB2312" w:hAnsi="楷体_GB2312" w:eastAsia="楷体_GB2312" w:cs="楷体_GB2312"/>
          <w:b/>
          <w:bCs/>
          <w:color w:val="auto"/>
          <w:kern w:val="0"/>
          <w:sz w:val="24"/>
          <w:szCs w:val="24"/>
          <w:lang w:eastAsia="zh-CN"/>
        </w:rPr>
        <w:t>（二）标准主要条款确定依据</w:t>
      </w:r>
    </w:p>
    <w:p>
      <w:pPr>
        <w:pStyle w:val="16"/>
        <w:keepNext w:val="0"/>
        <w:keepLines w:val="0"/>
        <w:pageBreakBefore w:val="0"/>
        <w:kinsoku/>
        <w:wordWrap/>
        <w:overflowPunct/>
        <w:topLinePunct w:val="0"/>
        <w:autoSpaceDE/>
        <w:autoSpaceDN/>
        <w:bidi w:val="0"/>
        <w:snapToGrid/>
        <w:spacing w:line="460" w:lineRule="exact"/>
        <w:ind w:firstLine="481" w:firstLineChars="200"/>
        <w:rPr>
          <w:rFonts w:hint="eastAsia" w:hAnsi="宋体" w:eastAsia="宋体" w:cs="宋体"/>
          <w:kern w:val="2"/>
          <w:sz w:val="24"/>
          <w:szCs w:val="24"/>
          <w:lang w:eastAsia="zh-CN"/>
        </w:rPr>
      </w:pPr>
      <w:r>
        <w:rPr>
          <w:rFonts w:hint="eastAsia" w:hAnsi="宋体" w:cs="宋体"/>
          <w:b/>
          <w:bCs/>
          <w:sz w:val="24"/>
          <w:szCs w:val="24"/>
        </w:rPr>
        <w:t>1.</w:t>
      </w:r>
      <w:r>
        <w:rPr>
          <w:rFonts w:hint="eastAsia" w:hAnsi="宋体" w:cs="宋体"/>
          <w:sz w:val="24"/>
          <w:szCs w:val="24"/>
        </w:rPr>
        <w:t>本文件编制，参照相关文献研究，按照GB/T 1.1-2020《标准化工作导则 第1部分：标准化文件的结构和起草规则》要求进行起草</w:t>
      </w:r>
      <w:r>
        <w:rPr>
          <w:rFonts w:hint="eastAsia" w:hAnsi="宋体" w:cs="宋体"/>
          <w:sz w:val="24"/>
          <w:szCs w:val="24"/>
          <w:lang w:eastAsia="zh-CN"/>
        </w:rPr>
        <w:t>。</w:t>
      </w:r>
    </w:p>
    <w:p>
      <w:pPr>
        <w:pStyle w:val="16"/>
        <w:keepNext w:val="0"/>
        <w:keepLines w:val="0"/>
        <w:pageBreakBefore w:val="0"/>
        <w:kinsoku/>
        <w:wordWrap/>
        <w:overflowPunct/>
        <w:topLinePunct w:val="0"/>
        <w:autoSpaceDE/>
        <w:autoSpaceDN/>
        <w:bidi w:val="0"/>
        <w:snapToGrid/>
        <w:spacing w:line="460" w:lineRule="exact"/>
        <w:ind w:firstLine="481" w:firstLineChars="200"/>
        <w:rPr>
          <w:rFonts w:hint="eastAsia" w:hAnsi="宋体" w:cs="宋体"/>
          <w:b/>
          <w:bCs/>
          <w:sz w:val="24"/>
          <w:szCs w:val="24"/>
        </w:rPr>
      </w:pPr>
      <w:r>
        <w:rPr>
          <w:rFonts w:hint="eastAsia" w:hAnsi="宋体" w:cs="宋体"/>
          <w:b/>
          <w:bCs/>
          <w:sz w:val="24"/>
          <w:szCs w:val="24"/>
        </w:rPr>
        <w:t>2.主要条款说明及依据</w:t>
      </w:r>
    </w:p>
    <w:p>
      <w:pPr>
        <w:pStyle w:val="16"/>
        <w:keepNext w:val="0"/>
        <w:keepLines w:val="0"/>
        <w:pageBreakBefore w:val="0"/>
        <w:kinsoku/>
        <w:wordWrap/>
        <w:overflowPunct/>
        <w:topLinePunct w:val="0"/>
        <w:autoSpaceDE/>
        <w:autoSpaceDN/>
        <w:bidi w:val="0"/>
        <w:snapToGrid/>
        <w:spacing w:line="460" w:lineRule="exact"/>
        <w:ind w:firstLine="480" w:firstLineChars="200"/>
        <w:rPr>
          <w:rFonts w:hint="eastAsia" w:hAnsi="宋体" w:cs="宋体"/>
          <w:sz w:val="24"/>
          <w:szCs w:val="24"/>
        </w:rPr>
      </w:pPr>
      <w:r>
        <w:rPr>
          <w:rFonts w:hint="eastAsia" w:hAnsi="宋体" w:cs="宋体"/>
          <w:sz w:val="24"/>
          <w:szCs w:val="24"/>
        </w:rPr>
        <w:t>本文主要条款包括基本要求、服务内容及要求、运营管理、评价与改进，主要条款确定依据如下：</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eastAsia="zh-CN"/>
        </w:rPr>
      </w:pPr>
      <w:r>
        <w:rPr>
          <w:rFonts w:hint="eastAsia" w:hAnsi="宋体" w:cs="宋体"/>
          <w:sz w:val="24"/>
          <w:szCs w:val="24"/>
        </w:rPr>
        <w:t>将养老机构定义为：</w:t>
      </w:r>
      <w:r>
        <w:rPr>
          <w:rFonts w:hint="eastAsia" w:hAnsi="宋体" w:cs="宋体"/>
          <w:sz w:val="24"/>
          <w:szCs w:val="24"/>
          <w:lang w:eastAsia="zh-CN"/>
        </w:rPr>
        <w:t>“</w:t>
      </w:r>
      <w:r>
        <w:rPr>
          <w:rFonts w:hint="eastAsia" w:hAnsi="宋体" w:cs="宋体"/>
          <w:sz w:val="24"/>
          <w:szCs w:val="24"/>
          <w:lang w:val="en-US" w:eastAsia="zh-CN"/>
        </w:rPr>
        <w:t>3.1指为老年人提供全日制住宿和生活照料及居家和社区养老服务的各类组织。</w:t>
      </w:r>
      <w:r>
        <w:rPr>
          <w:rFonts w:hint="eastAsia" w:hAnsi="宋体" w:cs="宋体"/>
          <w:sz w:val="24"/>
          <w:szCs w:val="24"/>
          <w:lang w:eastAsia="zh-CN"/>
        </w:rPr>
        <w:t>”；预收资金</w:t>
      </w:r>
      <w:r>
        <w:rPr>
          <w:rFonts w:hint="eastAsia" w:hAnsi="宋体" w:cs="宋体"/>
          <w:sz w:val="24"/>
          <w:szCs w:val="24"/>
        </w:rPr>
        <w:t>定义为：</w:t>
      </w:r>
      <w:r>
        <w:rPr>
          <w:rFonts w:hint="eastAsia" w:hAnsi="宋体" w:cs="宋体"/>
          <w:sz w:val="24"/>
          <w:szCs w:val="24"/>
          <w:lang w:eastAsia="zh-CN"/>
        </w:rPr>
        <w:t>“</w:t>
      </w:r>
      <w:r>
        <w:rPr>
          <w:rFonts w:hint="eastAsia" w:hAnsi="宋体" w:cs="宋体"/>
          <w:sz w:val="24"/>
          <w:szCs w:val="24"/>
          <w:lang w:val="en-US" w:eastAsia="zh-CN"/>
        </w:rPr>
        <w:t>3.2是指养老机构在实际提供相应服务之前预先收取的资金，包括预收服务费、预收会员费和质押金。</w:t>
      </w:r>
      <w:r>
        <w:rPr>
          <w:rFonts w:hint="eastAsia" w:hAnsi="宋体" w:cs="宋体"/>
          <w:sz w:val="24"/>
          <w:szCs w:val="24"/>
          <w:lang w:eastAsia="zh-CN"/>
        </w:rPr>
        <w:t>”</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为了确保养老机构服务能够持续、健康地发展，解决</w:t>
      </w:r>
      <w:r>
        <w:rPr>
          <w:rFonts w:hint="eastAsia" w:ascii="宋体" w:hAnsi="宋体" w:eastAsia="宋体" w:cs="宋体"/>
          <w:color w:val="auto"/>
          <w:sz w:val="24"/>
          <w:szCs w:val="24"/>
          <w:lang w:val="en-US" w:eastAsia="zh-CN"/>
        </w:rPr>
        <w:t>存在人员短缺、服务质量不高、安全管理不规范、制度不健全等问题</w:t>
      </w:r>
      <w:r>
        <w:rPr>
          <w:rFonts w:hint="eastAsia" w:hAnsi="宋体" w:cs="宋体"/>
          <w:color w:val="auto"/>
          <w:sz w:val="24"/>
          <w:szCs w:val="24"/>
          <w:lang w:val="en-US" w:eastAsia="zh-CN"/>
        </w:rPr>
        <w:t>，</w:t>
      </w:r>
      <w:r>
        <w:rPr>
          <w:rFonts w:hint="eastAsia" w:hAnsi="宋体" w:cs="宋体"/>
          <w:sz w:val="24"/>
          <w:szCs w:val="24"/>
          <w:lang w:val="en-US" w:eastAsia="zh-CN"/>
        </w:rPr>
        <w:t>编制了第4条款“基本要求”。</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为了体现照顾老年人的日常生活。特编制了第5.1条款“生活照料”。</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为了使老年人享受专业的养老服务与健康关怀。特编制了第5.2条款“医疗护理”。</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为满足老人对文体娱乐活动需求。特编制了第5.3条款“医疗护理”。</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为及时了解老年人的心理与精神变化，满足精神上的慰藉。特编制了第5.4条款“精神慰藉”。</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为及时了解老年人的身体健康和精神状况，并做好记录、办好入驻手续，根据评估结果和老年人服务需求确定照护等级。特编制了第5.5条款“老年人能力评估”。</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为将老年人基本信息、健康情况、能力评估情况等录入系统，保证信息准确、实时、安全。特编制了第5.6条款“个人档案管理”。</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为更好更专业满足老人服务需求。特编制了第5.7条款“委托第三方服务”。</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因存在部分收费服务项目，特编制了第5.8条款“收费公示”。</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w:t>
      </w:r>
      <w:r>
        <w:rPr>
          <w:rFonts w:hint="eastAsia" w:ascii="宋体" w:hAnsi="宋体" w:eastAsia="宋体" w:cs="宋体"/>
          <w:color w:val="auto"/>
          <w:sz w:val="24"/>
          <w:szCs w:val="24"/>
          <w:lang w:val="en-US" w:eastAsia="zh-CN"/>
        </w:rPr>
        <w:t>规范养老机构的管理和服务，将有利于促进养老行业的发展，提高养老服务的质量和安全性</w:t>
      </w:r>
      <w:r>
        <w:rPr>
          <w:rFonts w:hint="eastAsia" w:hAnsi="宋体" w:cs="宋体"/>
          <w:sz w:val="24"/>
          <w:szCs w:val="24"/>
          <w:lang w:val="en-US" w:eastAsia="zh-CN"/>
        </w:rPr>
        <w:t>，特编制了第6条款“服务运营管理”。</w:t>
      </w:r>
    </w:p>
    <w:p>
      <w:pPr>
        <w:pStyle w:val="16"/>
        <w:keepNext w:val="0"/>
        <w:keepLines w:val="0"/>
        <w:pageBreakBefore w:val="0"/>
        <w:numPr>
          <w:ilvl w:val="0"/>
          <w:numId w:val="4"/>
        </w:numPr>
        <w:kinsoku/>
        <w:wordWrap/>
        <w:overflowPunct/>
        <w:topLinePunct w:val="0"/>
        <w:autoSpaceDE/>
        <w:autoSpaceDN/>
        <w:bidi w:val="0"/>
        <w:snapToGrid/>
        <w:spacing w:line="460" w:lineRule="exact"/>
        <w:ind w:firstLine="480" w:firstLineChars="200"/>
        <w:rPr>
          <w:rFonts w:hint="eastAsia" w:hAnsi="宋体" w:cs="宋体"/>
          <w:sz w:val="24"/>
          <w:szCs w:val="24"/>
          <w:lang w:val="en-US" w:eastAsia="zh-CN"/>
        </w:rPr>
      </w:pPr>
      <w:r>
        <w:rPr>
          <w:rFonts w:hint="eastAsia" w:hAnsi="宋体" w:cs="宋体"/>
          <w:sz w:val="24"/>
          <w:szCs w:val="24"/>
          <w:lang w:val="en-US" w:eastAsia="zh-CN"/>
        </w:rPr>
        <w:t>为不断提升养老机构的服务水平，特编制第7条款“评价与改进”。</w:t>
      </w:r>
    </w:p>
    <w:p>
      <w:pPr>
        <w:pStyle w:val="10"/>
        <w:keepNext w:val="0"/>
        <w:keepLines w:val="0"/>
        <w:pageBreakBefore w:val="0"/>
        <w:numPr>
          <w:ilvl w:val="0"/>
          <w:numId w:val="0"/>
        </w:numPr>
        <w:kinsoku/>
        <w:wordWrap/>
        <w:overflowPunct/>
        <w:topLinePunct w:val="0"/>
        <w:autoSpaceDE/>
        <w:autoSpaceDN/>
        <w:bidi w:val="0"/>
        <w:snapToGrid/>
        <w:spacing w:before="0" w:beforeAutospacing="0" w:after="0" w:afterAutospacing="0" w:line="460" w:lineRule="exact"/>
        <w:ind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四、</w:t>
      </w:r>
      <w:r>
        <w:rPr>
          <w:rFonts w:hint="eastAsia" w:ascii="黑体" w:hAnsi="黑体" w:eastAsia="黑体" w:cs="黑体"/>
          <w:b w:val="0"/>
          <w:bCs w:val="0"/>
          <w:kern w:val="2"/>
          <w:sz w:val="24"/>
          <w:szCs w:val="24"/>
        </w:rPr>
        <w:t>主要验证分析</w:t>
      </w:r>
      <w:r>
        <w:rPr>
          <w:rFonts w:hint="eastAsia" w:ascii="黑体" w:hAnsi="黑体" w:eastAsia="黑体" w:cs="黑体"/>
          <w:b w:val="0"/>
          <w:bCs w:val="0"/>
          <w:sz w:val="24"/>
          <w:szCs w:val="24"/>
        </w:rPr>
        <w:t>、综述</w:t>
      </w:r>
      <w:r>
        <w:rPr>
          <w:rFonts w:hint="eastAsia" w:ascii="黑体" w:hAnsi="黑体" w:eastAsia="黑体" w:cs="黑体"/>
          <w:b w:val="0"/>
          <w:bCs w:val="0"/>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本文件每一项内容都遵循国家有关的法律、法规和规章制度，严格按照GB/T 1.1《标准化工作导则 第1部分：标准化文件的结构和起草规则》等国家标准的要求进行编写。制定过程经过调研、征求意见等环节，标准实用性和可操作性强，大部分人都能看得懂，并且能轻而易举的按照标准规定进行识别和实际操作。</w:t>
      </w:r>
    </w:p>
    <w:p>
      <w:pPr>
        <w:pStyle w:val="10"/>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五</w:t>
      </w:r>
      <w:r>
        <w:rPr>
          <w:rFonts w:hint="eastAsia" w:ascii="黑体" w:hAnsi="黑体" w:eastAsia="黑体" w:cs="黑体"/>
          <w:b w:val="0"/>
          <w:bCs w:val="0"/>
          <w:kern w:val="2"/>
          <w:sz w:val="24"/>
          <w:szCs w:val="24"/>
        </w:rPr>
        <w:t>、标准实施后对经济和社会发展的预期影响及论证</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服务指南《养老机构运营管理指南》规范养老机构的管理和服务，将有利于促进养老行业的发展，提高养老服务的质量和安全性，让老年人能够更安心、更舒心地接受服务，提升他们的幸福感、获得感和安全感。</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default" w:asciiTheme="minorEastAsia" w:hAnsiTheme="minorEastAsia" w:eastAsiaTheme="minorEastAsia" w:cstheme="minorEastAsia"/>
          <w:color w:val="auto"/>
          <w:sz w:val="24"/>
          <w:szCs w:val="24"/>
          <w:lang w:val="en-US" w:eastAsia="zh-CN"/>
        </w:rPr>
      </w:pPr>
      <w:r>
        <w:rPr>
          <w:rFonts w:hint="eastAsia" w:ascii="黑体" w:hAnsi="黑体" w:eastAsia="黑体" w:cs="黑体"/>
          <w:b w:val="0"/>
          <w:bCs w:val="0"/>
          <w:kern w:val="2"/>
          <w:sz w:val="24"/>
          <w:szCs w:val="24"/>
          <w:lang w:eastAsia="zh-CN"/>
        </w:rPr>
        <w:t>六</w:t>
      </w:r>
      <w:r>
        <w:rPr>
          <w:rFonts w:hint="eastAsia" w:ascii="黑体" w:hAnsi="黑体" w:eastAsia="黑体" w:cs="黑体"/>
          <w:b w:val="0"/>
          <w:bCs w:val="0"/>
          <w:kern w:val="2"/>
          <w:sz w:val="24"/>
          <w:szCs w:val="24"/>
        </w:rPr>
        <w:t>、与国内政府主导制定标准（国家标准、行业标准、地方标准）的协调情况，采用国际标准的先进程度</w:t>
      </w:r>
    </w:p>
    <w:p>
      <w:pPr>
        <w:keepNext w:val="0"/>
        <w:keepLines w:val="0"/>
        <w:pageBreakBefore w:val="0"/>
        <w:kinsoku/>
        <w:wordWrap/>
        <w:overflowPunct/>
        <w:topLinePunct w:val="0"/>
        <w:autoSpaceDE/>
        <w:autoSpaceDN/>
        <w:bidi w:val="0"/>
        <w:adjustRightInd w:val="0"/>
        <w:snapToGrid/>
        <w:spacing w:line="460" w:lineRule="exact"/>
        <w:ind w:firstLine="480" w:firstLineChars="200"/>
        <w:textAlignment w:val="baseline"/>
        <w:rPr>
          <w:rFonts w:hint="eastAsia" w:ascii="宋体" w:hAnsi="宋体" w:cs="宋体"/>
          <w:kern w:val="0"/>
          <w:sz w:val="24"/>
          <w:szCs w:val="24"/>
        </w:rPr>
      </w:pPr>
      <w:r>
        <w:rPr>
          <w:rFonts w:hint="eastAsia" w:ascii="宋体" w:hAnsi="宋体" w:cs="宋体"/>
          <w:kern w:val="0"/>
          <w:sz w:val="24"/>
          <w:szCs w:val="24"/>
        </w:rPr>
        <w:t>本文件</w:t>
      </w:r>
      <w:r>
        <w:rPr>
          <w:rFonts w:hint="eastAsia" w:ascii="宋体" w:hAnsi="宋体" w:cs="宋体"/>
          <w:kern w:val="0"/>
          <w:sz w:val="24"/>
          <w:szCs w:val="24"/>
          <w:lang w:eastAsia="zh-CN"/>
        </w:rPr>
        <w:t>与</w:t>
      </w:r>
      <w:r>
        <w:rPr>
          <w:rFonts w:hint="eastAsia" w:ascii="宋体" w:hAnsi="宋体" w:cs="宋体"/>
          <w:kern w:val="0"/>
          <w:sz w:val="24"/>
          <w:szCs w:val="24"/>
        </w:rPr>
        <w:t>国家标准、行业标准</w:t>
      </w:r>
      <w:r>
        <w:rPr>
          <w:rFonts w:hint="eastAsia" w:ascii="宋体" w:hAnsi="宋体" w:cs="宋体"/>
          <w:kern w:val="0"/>
          <w:sz w:val="24"/>
          <w:szCs w:val="24"/>
          <w:lang w:eastAsia="zh-CN"/>
        </w:rPr>
        <w:t>、地方标准相协调</w:t>
      </w:r>
      <w:r>
        <w:rPr>
          <w:rFonts w:hint="eastAsia" w:ascii="宋体" w:hAnsi="宋体" w:cs="宋体"/>
          <w:kern w:val="0"/>
          <w:sz w:val="24"/>
          <w:szCs w:val="24"/>
        </w:rPr>
        <w:t>，未采用国际标准。</w:t>
      </w:r>
    </w:p>
    <w:p>
      <w:pPr>
        <w:pStyle w:val="11"/>
        <w:keepNext w:val="0"/>
        <w:keepLines w:val="0"/>
        <w:pageBreakBefore w:val="0"/>
        <w:numPr>
          <w:ilvl w:val="0"/>
          <w:numId w:val="5"/>
        </w:numPr>
        <w:kinsoku/>
        <w:wordWrap/>
        <w:overflowPunct/>
        <w:topLinePunct w:val="0"/>
        <w:autoSpaceDE/>
        <w:autoSpaceDN/>
        <w:bidi w:val="0"/>
        <w:snapToGrid/>
        <w:spacing w:line="460" w:lineRule="exact"/>
        <w:ind w:left="0" w:leftChars="0"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与现行法律、法规、强制性标准的关系</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本文件制订过程遵循相关法律、法规，与现行法律、法规和强制性标准无冲突。</w:t>
      </w:r>
    </w:p>
    <w:p>
      <w:pPr>
        <w:pStyle w:val="10"/>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八</w:t>
      </w:r>
      <w:r>
        <w:rPr>
          <w:rFonts w:hint="eastAsia" w:ascii="黑体" w:hAnsi="黑体" w:eastAsia="黑体" w:cs="黑体"/>
          <w:b w:val="0"/>
          <w:bCs w:val="0"/>
          <w:kern w:val="2"/>
          <w:sz w:val="24"/>
          <w:szCs w:val="24"/>
        </w:rPr>
        <w:t>、是否涉及专利（涉及专利的应作出必要专利声明）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本文件在征求意见过程中，未收到涉及专利的异议。</w:t>
      </w:r>
    </w:p>
    <w:p>
      <w:pPr>
        <w:pStyle w:val="10"/>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九</w:t>
      </w:r>
      <w:r>
        <w:rPr>
          <w:rFonts w:hint="eastAsia" w:ascii="黑体" w:hAnsi="黑体" w:eastAsia="黑体" w:cs="黑体"/>
          <w:b w:val="0"/>
          <w:bCs w:val="0"/>
          <w:kern w:val="2"/>
          <w:sz w:val="24"/>
          <w:szCs w:val="24"/>
        </w:rPr>
        <w:t>、重大分歧意见的处理过程</w:t>
      </w:r>
    </w:p>
    <w:p>
      <w:pPr>
        <w:pStyle w:val="10"/>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Theme="minorEastAsia" w:hAnsiTheme="minorEastAsia" w:eastAsiaTheme="minorEastAsia" w:cstheme="minorEastAsia"/>
          <w:sz w:val="24"/>
          <w:szCs w:val="24"/>
        </w:rPr>
      </w:pPr>
      <w:r>
        <w:rPr>
          <w:rFonts w:hint="eastAsia" w:ascii="宋体" w:hAnsi="宋体" w:eastAsia="宋体" w:cs="宋体"/>
          <w:color w:val="auto"/>
          <w:kern w:val="2"/>
          <w:sz w:val="24"/>
          <w:szCs w:val="24"/>
          <w:lang w:val="en-US" w:eastAsia="zh-CN" w:bidi="ar-SA"/>
        </w:rPr>
        <w:t>该文件审议过程中，与各相关方达成了一致意见，无重大分歧意见。</w:t>
      </w:r>
    </w:p>
    <w:p>
      <w:pPr>
        <w:pStyle w:val="10"/>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rPr>
        <w:t>十、作为强制性地方标准的依据（推荐性标准无需说明）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本文件为推荐性标准。</w:t>
      </w:r>
    </w:p>
    <w:p>
      <w:pPr>
        <w:pStyle w:val="11"/>
        <w:keepNext w:val="0"/>
        <w:keepLines w:val="0"/>
        <w:pageBreakBefore w:val="0"/>
        <w:numPr>
          <w:ilvl w:val="0"/>
          <w:numId w:val="0"/>
        </w:numPr>
        <w:kinsoku/>
        <w:wordWrap/>
        <w:overflowPunct/>
        <w:topLinePunct w:val="0"/>
        <w:autoSpaceDE/>
        <w:autoSpaceDN/>
        <w:bidi w:val="0"/>
        <w:snapToGrid/>
        <w:spacing w:line="460" w:lineRule="exact"/>
        <w:ind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十一、</w:t>
      </w:r>
      <w:r>
        <w:rPr>
          <w:rFonts w:hint="eastAsia" w:ascii="黑体" w:hAnsi="黑体" w:eastAsia="黑体" w:cs="黑体"/>
          <w:b w:val="0"/>
          <w:bCs w:val="0"/>
          <w:kern w:val="2"/>
          <w:sz w:val="24"/>
          <w:szCs w:val="24"/>
        </w:rPr>
        <w:t>标准实施的计划、方案</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本文件发布实施后：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1.将明确我州养老机构运营管理、服务标准等细则。</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2.规范养老机构的管理和服务，将有利于促进养老行业的发展。</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ind w:firstLine="480" w:firstLineChars="200"/>
        <w:textAlignment w:val="auto"/>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rPr>
        <w:t>标准解释、归口管理以及获取意见建议的联系方式（应保证长期稳定）</w:t>
      </w:r>
      <w:r>
        <w:rPr>
          <w:rFonts w:hint="eastAsia" w:ascii="黑体" w:hAnsi="黑体" w:eastAsia="黑体" w:cs="黑体"/>
          <w:b w:val="0"/>
          <w:bCs w:val="0"/>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rPr>
        <w:t>标准解释：</w:t>
      </w:r>
      <w:r>
        <w:rPr>
          <w:rFonts w:hint="eastAsia" w:asciiTheme="minorEastAsia" w:hAnsiTheme="minorEastAsia" w:eastAsiaTheme="minorEastAsia" w:cstheme="minorEastAsia"/>
          <w:kern w:val="2"/>
          <w:sz w:val="24"/>
          <w:szCs w:val="24"/>
          <w:lang w:eastAsia="zh-CN"/>
        </w:rPr>
        <w:t>黔东南州民政局</w:t>
      </w:r>
      <w:r>
        <w:rPr>
          <w:rFonts w:hint="eastAsia" w:asciiTheme="minorEastAsia" w:hAnsiTheme="minorEastAsia" w:eastAsiaTheme="minorEastAsia" w:cstheme="minorEastAsia"/>
          <w:kern w:val="2"/>
          <w:sz w:val="24"/>
          <w:szCs w:val="24"/>
          <w:lang w:val="en-US" w:eastAsia="zh-CN"/>
        </w:rPr>
        <w:t>单位；</w:t>
      </w:r>
      <w:r>
        <w:rPr>
          <w:rFonts w:hint="eastAsia" w:asciiTheme="minorEastAsia" w:hAnsiTheme="minorEastAsia" w:eastAsiaTheme="minorEastAsia" w:cstheme="minorEastAsia"/>
          <w:kern w:val="2"/>
          <w:sz w:val="24"/>
          <w:szCs w:val="24"/>
        </w:rPr>
        <w:t>联系</w:t>
      </w:r>
      <w:r>
        <w:rPr>
          <w:rFonts w:hint="eastAsia" w:asciiTheme="minorEastAsia" w:hAnsiTheme="minorEastAsia" w:eastAsiaTheme="minorEastAsia" w:cstheme="minorEastAsia"/>
          <w:kern w:val="2"/>
          <w:sz w:val="24"/>
          <w:szCs w:val="24"/>
          <w:lang w:eastAsia="zh-CN"/>
        </w:rPr>
        <w:t>人：</w:t>
      </w:r>
      <w:r>
        <w:rPr>
          <w:rFonts w:hint="eastAsia" w:asciiTheme="minorEastAsia" w:hAnsiTheme="minorEastAsia" w:cstheme="minorEastAsia"/>
          <w:kern w:val="2"/>
          <w:sz w:val="24"/>
          <w:szCs w:val="24"/>
          <w:lang w:eastAsia="zh-CN"/>
        </w:rPr>
        <w:t>文周琴；</w:t>
      </w:r>
      <w:r>
        <w:rPr>
          <w:rFonts w:hint="eastAsia" w:asciiTheme="minorEastAsia" w:hAnsiTheme="minorEastAsia" w:eastAsiaTheme="minorEastAsia" w:cstheme="minorEastAsia"/>
          <w:kern w:val="2"/>
          <w:sz w:val="24"/>
          <w:szCs w:val="24"/>
        </w:rPr>
        <w:t>联系电话</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cstheme="minorEastAsia"/>
          <w:kern w:val="2"/>
          <w:sz w:val="24"/>
          <w:szCs w:val="24"/>
          <w:lang w:val="en-US" w:eastAsia="zh-CN"/>
        </w:rPr>
        <w:t>0855-8223978；</w:t>
      </w:r>
      <w:r>
        <w:rPr>
          <w:rFonts w:hint="eastAsia" w:asciiTheme="minorEastAsia" w:hAnsiTheme="minorEastAsia" w:eastAsiaTheme="minorEastAsia" w:cstheme="minorEastAsia"/>
          <w:kern w:val="2"/>
          <w:sz w:val="24"/>
          <w:szCs w:val="24"/>
        </w:rPr>
        <w:t>邮箱</w:t>
      </w:r>
      <w:r>
        <w:rPr>
          <w:rFonts w:hint="eastAsia" w:asciiTheme="minorEastAsia" w:hAnsiTheme="minorEastAsia" w:cstheme="minorEastAsia"/>
          <w:kern w:val="2"/>
          <w:sz w:val="24"/>
          <w:szCs w:val="24"/>
          <w:lang w:eastAsia="zh-CN"/>
        </w:rPr>
        <w:t>：</w:t>
      </w:r>
      <w:r>
        <w:rPr>
          <w:rFonts w:hint="eastAsia" w:asciiTheme="minorEastAsia" w:hAnsiTheme="minorEastAsia" w:eastAsiaTheme="minorEastAsia" w:cstheme="minorEastAsia"/>
          <w:color w:val="auto"/>
          <w:kern w:val="2"/>
          <w:sz w:val="24"/>
          <w:szCs w:val="24"/>
          <w:u w:val="none"/>
          <w:lang w:val="en-US" w:eastAsia="zh-CN"/>
        </w:rPr>
        <w:t>736862999</w:t>
      </w:r>
      <w:r>
        <w:rPr>
          <w:rFonts w:hint="eastAsia" w:asciiTheme="minorEastAsia" w:hAnsiTheme="minorEastAsia" w:eastAsiaTheme="minorEastAsia" w:cstheme="minorEastAsia"/>
          <w:color w:val="auto"/>
          <w:kern w:val="2"/>
          <w:sz w:val="24"/>
          <w:szCs w:val="24"/>
          <w:u w:val="none"/>
          <w:lang w:val="en-US" w:eastAsia="zh-CN" w:bidi="ar-SA"/>
        </w:rPr>
        <w:t>@qq</w:t>
      </w:r>
      <w:r>
        <w:rPr>
          <w:rFonts w:hint="eastAsia" w:asciiTheme="minorEastAsia" w:hAnsiTheme="minorEastAsia" w:eastAsiaTheme="minorEastAsia" w:cstheme="minorEastAsia"/>
          <w:color w:val="auto"/>
          <w:kern w:val="2"/>
          <w:sz w:val="24"/>
          <w:szCs w:val="24"/>
          <w:u w:val="none"/>
        </w:rPr>
        <w:t>.com</w:t>
      </w:r>
      <w:r>
        <w:rPr>
          <w:rFonts w:hint="eastAsia" w:asciiTheme="minorEastAsia" w:hAnsiTheme="minorEastAsia" w:eastAsiaTheme="minorEastAsia" w:cstheme="minorEastAsia"/>
          <w:color w:val="auto"/>
          <w:kern w:val="2"/>
          <w:sz w:val="24"/>
          <w:szCs w:val="24"/>
          <w:u w:val="none"/>
          <w:lang w:eastAsia="zh-CN"/>
        </w:rPr>
        <w:t>。</w:t>
      </w:r>
    </w:p>
    <w:p>
      <w:pPr>
        <w:pStyle w:val="2"/>
        <w:rPr>
          <w:rFonts w:hint="eastAsia"/>
          <w:lang w:eastAsia="zh-CN"/>
        </w:rPr>
      </w:pPr>
    </w:p>
    <w:p>
      <w:pPr>
        <w:pStyle w:val="2"/>
        <w:rPr>
          <w:rFonts w:hint="eastAsia"/>
          <w:lang w:eastAsia="zh-CN"/>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280" w:firstLineChars="2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黔东南州地方标准</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4130" w:firstLineChars="172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宋体" w:hAnsi="宋体" w:eastAsia="宋体" w:cs="宋体"/>
          <w:color w:val="auto"/>
          <w:sz w:val="24"/>
          <w:szCs w:val="24"/>
          <w:lang w:val="en-US" w:eastAsia="zh-CN"/>
        </w:rPr>
        <w:t>养老机构运营管理指南</w:t>
      </w:r>
      <w:r>
        <w:rPr>
          <w:rFonts w:hint="eastAsia" w:ascii="宋体" w:hAnsi="宋体" w:cs="宋体"/>
          <w:sz w:val="24"/>
          <w:szCs w:val="24"/>
        </w:rPr>
        <w:t>》</w:t>
      </w:r>
      <w:r>
        <w:rPr>
          <w:rFonts w:hint="eastAsia" w:asciiTheme="minorEastAsia" w:hAnsiTheme="minorEastAsia" w:eastAsiaTheme="minorEastAsia" w:cstheme="minorEastAsia"/>
          <w:sz w:val="24"/>
          <w:szCs w:val="24"/>
          <w:lang w:eastAsia="zh-CN"/>
        </w:rPr>
        <w:t>编写组</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568" w:firstLineChars="2320"/>
        <w:textAlignment w:val="auto"/>
        <w:rPr>
          <w:rFonts w:hint="eastAsia" w:asciiTheme="minorEastAsia" w:hAnsiTheme="minorEastAsia" w:eastAsiaTheme="minorEastAsia" w:cstheme="minorEastAsia"/>
          <w:sz w:val="24"/>
          <w:szCs w:val="24"/>
          <w:lang w:eastAsia="zh-CN"/>
        </w:rPr>
      </w:pPr>
      <w:bookmarkStart w:id="0" w:name="_GoBack"/>
      <w:bookmarkEnd w:id="0"/>
      <w:r>
        <w:rPr>
          <w:rFonts w:hint="eastAsia" w:asciiTheme="minorEastAsia" w:hAnsiTheme="minorEastAsia" w:eastAsiaTheme="minorEastAsia" w:cstheme="minorEastAsia"/>
          <w:sz w:val="24"/>
          <w:szCs w:val="24"/>
          <w:lang w:val="en-US" w:eastAsia="zh-CN"/>
        </w:rPr>
        <w:t>2025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月</w:t>
      </w:r>
    </w:p>
    <w:p>
      <w:pPr>
        <w:numPr>
          <w:ilvl w:val="0"/>
          <w:numId w:val="0"/>
        </w:numPr>
        <w:rPr>
          <w:rFonts w:hint="eastAsia"/>
          <w:lang w:val="en-US" w:eastAsia="zh-CN"/>
        </w:rPr>
      </w:pPr>
    </w:p>
    <w:p>
      <w:pPr>
        <w:pStyle w:val="11"/>
        <w:numPr>
          <w:ilvl w:val="0"/>
          <w:numId w:val="0"/>
        </w:numPr>
        <w:ind w:leftChars="40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6867C"/>
    <w:multiLevelType w:val="singleLevel"/>
    <w:tmpl w:val="8C46867C"/>
    <w:lvl w:ilvl="0" w:tentative="0">
      <w:start w:val="1"/>
      <w:numFmt w:val="decimal"/>
      <w:suff w:val="nothing"/>
      <w:lvlText w:val="（%1）"/>
      <w:lvlJc w:val="left"/>
    </w:lvl>
  </w:abstractNum>
  <w:abstractNum w:abstractNumId="1">
    <w:nsid w:val="9898A922"/>
    <w:multiLevelType w:val="singleLevel"/>
    <w:tmpl w:val="9898A922"/>
    <w:lvl w:ilvl="0" w:tentative="0">
      <w:start w:val="12"/>
      <w:numFmt w:val="chineseCounting"/>
      <w:suff w:val="nothing"/>
      <w:lvlText w:val="%1、"/>
      <w:lvlJc w:val="left"/>
      <w:rPr>
        <w:rFonts w:hint="eastAsia"/>
      </w:rPr>
    </w:lvl>
  </w:abstractNum>
  <w:abstractNum w:abstractNumId="2">
    <w:nsid w:val="00000001"/>
    <w:multiLevelType w:val="singleLevel"/>
    <w:tmpl w:val="00000001"/>
    <w:lvl w:ilvl="0" w:tentative="0">
      <w:start w:val="3"/>
      <w:numFmt w:val="chineseCounting"/>
      <w:suff w:val="nothing"/>
      <w:lvlText w:val="（%1）"/>
      <w:lvlJc w:val="left"/>
      <w:pPr>
        <w:ind w:left="360" w:firstLine="0"/>
      </w:pPr>
      <w:rPr>
        <w:rFonts w:hint="eastAsia"/>
      </w:rPr>
    </w:lvl>
  </w:abstractNum>
  <w:abstractNum w:abstractNumId="3">
    <w:nsid w:val="43319CED"/>
    <w:multiLevelType w:val="singleLevel"/>
    <w:tmpl w:val="43319CED"/>
    <w:lvl w:ilvl="0" w:tentative="0">
      <w:start w:val="7"/>
      <w:numFmt w:val="chineseCounting"/>
      <w:suff w:val="nothing"/>
      <w:lvlText w:val="%1、"/>
      <w:lvlJc w:val="left"/>
      <w:rPr>
        <w:rFonts w:hint="eastAsia"/>
      </w:rPr>
    </w:lvl>
  </w:abstractNum>
  <w:abstractNum w:abstractNumId="4">
    <w:nsid w:val="5B6640A8"/>
    <w:multiLevelType w:val="singleLevel"/>
    <w:tmpl w:val="5B6640A8"/>
    <w:lvl w:ilvl="0" w:tentative="0">
      <w:start w:val="3"/>
      <w:numFmt w:val="decimal"/>
      <w:suff w:val="nothing"/>
      <w:lvlText w:val="（%1）"/>
      <w:lvlJc w:val="left"/>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8"/>
      <w:suff w:val="nothing"/>
      <w:lvlText w:val="%1%2　"/>
      <w:lvlJc w:val="left"/>
      <w:pPr>
        <w:ind w:left="0" w:firstLine="0"/>
      </w:pPr>
      <w:rPr>
        <w:rFonts w:hint="eastAsia" w:ascii="黑体" w:eastAsia="黑体"/>
        <w:b w:val="0"/>
        <w:i w:val="0"/>
        <w:sz w:val="21"/>
      </w:rPr>
    </w:lvl>
    <w:lvl w:ilvl="2" w:tentative="0">
      <w:start w:val="1"/>
      <w:numFmt w:val="decimal"/>
      <w:pStyle w:val="1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F7BA5"/>
    <w:rsid w:val="0BB76FB1"/>
    <w:rsid w:val="15BF6209"/>
    <w:rsid w:val="1FCF7546"/>
    <w:rsid w:val="2C0D65AD"/>
    <w:rsid w:val="3F6FDF1A"/>
    <w:rsid w:val="4E994E01"/>
    <w:rsid w:val="51BD1C83"/>
    <w:rsid w:val="5BC17ED6"/>
    <w:rsid w:val="62395B26"/>
    <w:rsid w:val="65190712"/>
    <w:rsid w:val="726A11A3"/>
    <w:rsid w:val="72FF7BA5"/>
    <w:rsid w:val="75981211"/>
    <w:rsid w:val="9BCFDBE4"/>
    <w:rsid w:val="F9CFB7AD"/>
    <w:rsid w:val="FF2F5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100" w:beforeLines="100" w:after="100" w:afterLines="100" w:line="240" w:lineRule="auto"/>
      <w:ind w:firstLine="0" w:firstLineChars="0"/>
      <w:jc w:val="both"/>
      <w:outlineLvl w:val="0"/>
    </w:pPr>
    <w:rPr>
      <w:rFonts w:eastAsia="黑体"/>
      <w:bCs/>
      <w:kern w:val="44"/>
      <w:szCs w:val="44"/>
    </w:rPr>
  </w:style>
  <w:style w:type="paragraph" w:styleId="4">
    <w:name w:val="heading 2"/>
    <w:basedOn w:val="1"/>
    <w:next w:val="1"/>
    <w:qFormat/>
    <w:uiPriority w:val="0"/>
    <w:pPr>
      <w:keepNext/>
      <w:keepLines/>
      <w:spacing w:before="50" w:beforeLines="50" w:after="50" w:afterLines="50" w:line="240" w:lineRule="auto"/>
      <w:ind w:firstLine="0" w:firstLineChars="0"/>
      <w:outlineLvl w:val="1"/>
    </w:pPr>
    <w:rPr>
      <w:rFonts w:ascii="Arial" w:hAnsi="Arial" w:eastAsia="黑体"/>
      <w:bCs/>
      <w:szCs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link w:val="20"/>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ind w:right="210" w:rightChars="100"/>
      <w:jc w:val="right"/>
    </w:pPr>
    <w:rPr>
      <w:sz w:val="18"/>
      <w:szCs w:val="18"/>
    </w:rPr>
  </w:style>
  <w:style w:type="paragraph" w:styleId="8">
    <w:name w:val="Body Text Indent"/>
    <w:basedOn w:val="1"/>
    <w:next w:val="9"/>
    <w:qFormat/>
    <w:uiPriority w:val="0"/>
    <w:pPr>
      <w:ind w:left="420" w:leftChars="200"/>
    </w:pPr>
  </w:style>
  <w:style w:type="paragraph" w:styleId="9">
    <w:name w:val="Balloon Text"/>
    <w:basedOn w:val="1"/>
    <w:next w:val="1"/>
    <w:qFormat/>
    <w:uiPriority w:val="0"/>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2"/>
    <w:basedOn w:val="8"/>
    <w:next w:val="1"/>
    <w:qFormat/>
    <w:uiPriority w:val="0"/>
    <w:pPr>
      <w:ind w:firstLine="420" w:firstLineChars="200"/>
    </w:p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qFormat/>
    <w:uiPriority w:val="0"/>
    <w:rPr>
      <w:color w:val="0000FF"/>
      <w:u w:val="single"/>
    </w:rPr>
  </w:style>
  <w:style w:type="paragraph" w:customStyle="1" w:styleId="16">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7">
    <w:name w:val="标准文件_一级条标题"/>
    <w:basedOn w:val="18"/>
    <w:next w:val="19"/>
    <w:qFormat/>
    <w:uiPriority w:val="0"/>
    <w:pPr>
      <w:numPr>
        <w:ilvl w:val="2"/>
      </w:numPr>
      <w:spacing w:before="50" w:beforeLines="50" w:after="50" w:afterLines="50"/>
      <w:outlineLvl w:val="1"/>
    </w:pPr>
  </w:style>
  <w:style w:type="paragraph" w:customStyle="1" w:styleId="18">
    <w:name w:val="标准文件_章标题"/>
    <w:next w:val="19"/>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标题 5 Char"/>
    <w:link w:val="7"/>
    <w:qFormat/>
    <w:uiPriority w:val="0"/>
    <w:rPr>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3007</Words>
  <Characters>3200</Characters>
  <Lines>0</Lines>
  <Paragraphs>0</Paragraphs>
  <TotalTime>5</TotalTime>
  <ScaleCrop>false</ScaleCrop>
  <LinksUpToDate>false</LinksUpToDate>
  <CharactersWithSpaces>3219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2025-05-01T01:05:00Z</dcterms:created>
  <dc:creator>wait</dc:creator>
  <cp:lastModifiedBy>ysgz</cp:lastModifiedBy>
  <dcterms:modified xsi:type="dcterms:W3CDTF">2025-05-19T09:52:38Z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eyJoZGlkIjoiZDlmMDRmNjdhMGQ5ODFlMDNjOGMxNmE1MGIyMGZhZmIiLCJ1c2VySWQiOiIyNjU0NDMxNjYifQ==</vt:lpwstr>
  </property>
  <property fmtid="{D5CDD505-2E9C-101B-9397-08002B2CF9AE}" pid="4" name="ICV">
    <vt:lpwstr>1A327E2B1EAE431DA63E6413E2F3C66B_13</vt:lpwstr>
  </property>
</Properties>
</file>