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2D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 xml:space="preserve"> 黔东南州地方标准</w:t>
      </w:r>
    </w:p>
    <w:p w14:paraId="689E1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《“高山流水”敬酒民俗礼仪规范》编制说明</w:t>
      </w:r>
    </w:p>
    <w:p w14:paraId="5886A571">
      <w:pPr>
        <w:spacing w:line="4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（征求意见稿）</w:t>
      </w:r>
    </w:p>
    <w:p w14:paraId="4DB9CC9F">
      <w:pPr>
        <w:spacing w:line="460" w:lineRule="exact"/>
        <w:jc w:val="center"/>
        <w:rPr>
          <w:rFonts w:hint="eastAsia" w:ascii="黑体" w:eastAsia="黑体" w:cs="黑体"/>
          <w:b/>
          <w:bCs/>
          <w:sz w:val="36"/>
          <w:szCs w:val="36"/>
        </w:rPr>
      </w:pPr>
    </w:p>
    <w:p w14:paraId="46169FBE">
      <w:pPr>
        <w:pStyle w:val="11"/>
        <w:spacing w:before="0" w:beforeAutospacing="0" w:after="0" w:afterAutospacing="0" w:line="460" w:lineRule="exact"/>
        <w:rPr>
          <w:rFonts w:hint="eastAsia" w:ascii="黑体" w:eastAsia="黑体"/>
          <w:b w:val="0"/>
          <w:bCs w:val="0"/>
        </w:rPr>
      </w:pPr>
      <w:r>
        <w:rPr>
          <w:rFonts w:ascii="黑体" w:eastAsia="黑体"/>
          <w:b w:val="0"/>
          <w:bCs w:val="0"/>
        </w:rPr>
        <w:t>前言</w:t>
      </w:r>
    </w:p>
    <w:p w14:paraId="2374AD6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“高山流水”敬酒民俗礼仪是黔东南州特有的一种民俗文化表现形式，也是黔东南州旅游活动中的重要项目，对提升游客体验感、满意度发挥重要作用，而且越来越成为黔东南州重要的文化名片。然而，伴随“高山流水”文化IP价值的凸显，省内其他市州及邻省景区出现仪式元素挪用现象，导致出现芦笙形制混杂、酒歌旋律变异等文化失真问题。因此，为更好的传承民族文化，塑造地方文化旅游形象，制定和出台“高山流水”敬酒民俗礼仪的地方标准就显得非常必要。《“高山流水”敬酒民俗礼仪》的制定由黔东南民族职业技术学院牵头，</w:t>
      </w:r>
      <w:r>
        <w:rPr>
          <w:rFonts w:hint="eastAsia"/>
        </w:rPr>
        <w:t>贵州大学、黔东南州食品药品检验监测中心、西江苗寨管委会、肇兴侗寨管委会</w:t>
      </w:r>
      <w:r>
        <w:rPr>
          <w:rFonts w:hint="eastAsia" w:ascii="宋体" w:eastAsia="宋体" w:cs="宋体"/>
          <w:color w:val="000000"/>
        </w:rPr>
        <w:t>参与，组织有关专家共同编制。整个编制过程包括数据收集、实地调研、综合分析论证、内部讨论、征求意见和技术审查、报批等阶段，严格遵循了国家对地方标准编制的要求，具有较高的科学性以及合理性。</w:t>
      </w:r>
    </w:p>
    <w:p w14:paraId="0F8CFA8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80"/>
        <w:textAlignment w:val="auto"/>
        <w:rPr>
          <w:rFonts w:hint="eastAsia"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 w:val="0"/>
          <w:bCs w:val="0"/>
          <w:color w:val="000000"/>
        </w:rPr>
        <w:t>一、项目背景</w:t>
      </w:r>
      <w:r>
        <w:rPr>
          <w:rFonts w:hint="eastAsia" w:ascii="黑体" w:eastAsia="黑体"/>
          <w:b/>
          <w:bCs/>
          <w:color w:val="000000"/>
        </w:rPr>
        <w:t xml:space="preserve">  </w:t>
      </w:r>
      <w:r>
        <w:rPr>
          <w:rFonts w:hint="eastAsia" w:ascii="黑体" w:eastAsia="黑体"/>
          <w:b/>
          <w:bCs/>
          <w:color w:val="000000"/>
          <w:sz w:val="32"/>
          <w:szCs w:val="32"/>
        </w:rPr>
        <w:t xml:space="preserve"> </w:t>
      </w:r>
    </w:p>
    <w:p w14:paraId="3980760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textAlignment w:val="auto"/>
        <w:rPr>
          <w:rFonts w:hint="eastAsia" w:ascii="楷体" w:eastAsia="楷体"/>
          <w:b/>
          <w:bCs/>
          <w:color w:val="000000"/>
        </w:rPr>
      </w:pPr>
      <w:r>
        <w:rPr>
          <w:rFonts w:hint="eastAsia" w:ascii="楷体" w:eastAsia="楷体"/>
          <w:b/>
          <w:bCs/>
          <w:color w:val="000000"/>
        </w:rPr>
        <w:t>（一）州内产业现状</w:t>
      </w:r>
    </w:p>
    <w:p w14:paraId="6208B6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作为黔东南州最具代表性的迎宾礼俗，“高山流水”凭借其独特的仪式美学与民族特质，已成为区域文旅产业的核心IP。以西江苗寨、肇兴侗寨为代表的旅游景区，通过整合芦笙演奏、多声部敬酒歌等民族文化要素，成功塑造了</w:t>
      </w:r>
      <w:bookmarkStart w:id="0" w:name="_Hlk195538497"/>
      <w:r>
        <w:rPr>
          <w:rFonts w:hint="eastAsia" w:ascii="宋体" w:eastAsia="宋体" w:cs="宋体"/>
          <w:color w:val="000000"/>
          <w:kern w:val="0"/>
          <w:sz w:val="24"/>
        </w:rPr>
        <w:t>“未饮高山流水，未识黔东南”</w:t>
      </w:r>
      <w:bookmarkEnd w:id="0"/>
      <w:r>
        <w:rPr>
          <w:rFonts w:hint="eastAsia" w:ascii="宋体" w:eastAsia="宋体" w:cs="宋体"/>
          <w:color w:val="000000"/>
          <w:kern w:val="0"/>
          <w:sz w:val="24"/>
        </w:rPr>
        <w:t>的文化旅游品牌，形成强大的市场号召力。</w:t>
      </w:r>
    </w:p>
    <w:p w14:paraId="13A324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该礼仪的产业化发展有效拉动了餐饮、住宿、民族手工艺品等关联产业的消费升级。数据显示，相关景区年均衍生就业岗位逾2000个，其中文化展演、旅游服务等新型职业占比达65%，构建起“文化传承</w:t>
      </w:r>
      <w:bookmarkStart w:id="1" w:name="_Hlk195536360"/>
      <w:r>
        <w:rPr>
          <w:rFonts w:hint="eastAsia" w:ascii="宋体" w:eastAsia="宋体" w:cs="宋体"/>
          <w:color w:val="000000"/>
          <w:kern w:val="0"/>
          <w:sz w:val="24"/>
        </w:rPr>
        <w:t>—</w:t>
      </w:r>
      <w:bookmarkEnd w:id="1"/>
      <w:r>
        <w:rPr>
          <w:rFonts w:hint="eastAsia" w:ascii="宋体" w:eastAsia="宋体" w:cs="宋体"/>
          <w:color w:val="000000"/>
          <w:kern w:val="0"/>
          <w:sz w:val="24"/>
        </w:rPr>
        <w:t>技能培训—稳定就业”的乡村振兴闭环。</w:t>
      </w:r>
    </w:p>
    <w:p w14:paraId="2CF146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“高山流水”实现与侗族大歌、苗族蜡染等8项国家级非遗的协同发展，构建了“高山流水+”文化旅游产品体系。在旅游线路设计上，形成“肇兴侗寨听大歌—西江苗寨品酒礼—丹寨小镇习蜡染”的黄金体验线路，使游客人均停留时长由1.5天延长至3.2天，区域旅游综合收入年均增长率达22.3%。</w:t>
      </w:r>
    </w:p>
    <w:p w14:paraId="4CABAF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黔东南州通过构建“仪式场景化—产品体验化—产业生态化”的三维发展，成功将传统礼俗转化为具有完整价值链的文旅品牌。这种创新实践不仅实现年接待游客超千万人次的产业突破，更开创了民族文化生产性保护的新范式，为少数民族地区可持续发展提供了重要样本。</w:t>
      </w:r>
    </w:p>
    <w:p w14:paraId="2B3950E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textAlignment w:val="auto"/>
        <w:rPr>
          <w:rFonts w:hint="eastAsia" w:ascii="楷体" w:eastAsia="楷体"/>
          <w:b/>
          <w:bCs/>
        </w:rPr>
      </w:pPr>
      <w:r>
        <w:rPr>
          <w:rFonts w:hint="eastAsia" w:ascii="楷体" w:eastAsia="楷体"/>
          <w:b/>
          <w:bCs/>
          <w:color w:val="000000"/>
        </w:rPr>
        <w:t>（二）制修订地方标准</w:t>
      </w:r>
      <w:r>
        <w:rPr>
          <w:rFonts w:ascii="楷体" w:eastAsia="楷体"/>
          <w:b/>
          <w:bCs/>
        </w:rPr>
        <w:t>的必要性和意义</w:t>
      </w:r>
    </w:p>
    <w:p w14:paraId="34E7B5A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宋体" w:eastAsia="宋体" w:cs="宋体"/>
          <w:color w:val="000000"/>
        </w:rPr>
        <w:t>首先，</w:t>
      </w:r>
      <w:bookmarkStart w:id="2" w:name="_Hlk195538480"/>
      <w:r>
        <w:rPr>
          <w:rFonts w:hint="eastAsia" w:ascii="宋体" w:eastAsia="宋体" w:cs="宋体"/>
          <w:color w:val="000000"/>
        </w:rPr>
        <w:t>制订地方标准可以</w:t>
      </w:r>
      <w:bookmarkEnd w:id="2"/>
      <w:r>
        <w:rPr>
          <w:rFonts w:hint="eastAsia" w:ascii="宋体" w:eastAsia="宋体" w:cs="宋体"/>
          <w:color w:val="000000"/>
        </w:rPr>
        <w:t>防止文化符号异化。“高山流水”作为苗族迎宾最高礼仪，其核心特征包括酒壶形成的“酒瀑”、敬酒歌谣及阶梯式敬酒流程等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hint="eastAsia" w:ascii="宋体" w:eastAsia="宋体" w:cs="宋体"/>
          <w:color w:val="000000"/>
        </w:rPr>
        <w:t>。近年各地模仿导致芦笙形制混杂、酒歌旋律简化等问题，需通过标准明确酒器规格、仪式空间布局等技术指标，遏制文化基因变异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hint="eastAsia" w:ascii="Times New Roman" w:hAnsi="Times New Roman" w:eastAsia="宋体" w:cs="Times New Roman"/>
          <w:color w:val="000000"/>
        </w:rPr>
        <w:t>。</w:t>
      </w:r>
    </w:p>
    <w:p w14:paraId="51484E7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</w:rPr>
        <w:t>其次，</w:t>
      </w:r>
      <w:r>
        <w:rPr>
          <w:rFonts w:hint="eastAsia" w:ascii="宋体" w:eastAsia="宋体" w:cs="宋体"/>
          <w:color w:val="000000"/>
        </w:rPr>
        <w:t>制订地方标准可以</w:t>
      </w:r>
      <w:r>
        <w:rPr>
          <w:rFonts w:ascii="宋体" w:eastAsia="宋体" w:cs="宋体"/>
          <w:color w:val="000000"/>
        </w:rPr>
        <w:t>强化品牌识别度</w:t>
      </w:r>
      <w:r>
        <w:rPr>
          <w:rStyle w:val="14"/>
          <w:rFonts w:hint="eastAsia" w:ascii="Arial" w:hAnsi="Arial" w:cs="Arial"/>
          <w:color w:val="333333"/>
          <w:shd w:val="clear" w:color="auto" w:fill="FFFFFF"/>
        </w:rPr>
        <w:t>。</w:t>
      </w:r>
      <w:r>
        <w:rPr>
          <w:rFonts w:hint="eastAsia" w:ascii="宋体" w:eastAsia="宋体" w:cs="宋体"/>
          <w:color w:val="000000"/>
        </w:rPr>
        <w:t>地方标准的制定可以强化“未饮高山流水，未识黔东南”</w:t>
      </w:r>
      <w:r>
        <w:rPr>
          <w:rFonts w:hint="eastAsia" w:ascii="Times New Roman" w:hAnsi="Times New Roman" w:eastAsia="宋体" w:cs="Times New Roman"/>
          <w:color w:val="000000"/>
        </w:rPr>
        <w:t>的市场认知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hint="eastAsia" w:ascii="Times New Roman" w:hAnsi="Times New Roman" w:eastAsia="宋体" w:cs="Times New Roman"/>
          <w:color w:val="000000"/>
        </w:rPr>
        <w:t>，需通过标准化服务流程，巩固品牌效应，避免低质模仿损害黔东南旅游形象。</w:t>
      </w:r>
    </w:p>
    <w:p w14:paraId="37A4F88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ascii="Times New Roman" w:hAnsi="Times New Roman" w:eastAsia="宋体" w:cs="Times New Roman"/>
          <w:color w:val="000000"/>
        </w:rPr>
      </w:pPr>
      <w:r>
        <w:rPr>
          <w:rFonts w:hint="eastAsia" w:ascii="Times New Roman" w:hAnsi="Times New Roman" w:eastAsia="宋体" w:cs="Times New Roman"/>
          <w:color w:val="000000"/>
        </w:rPr>
        <w:t>第三，</w:t>
      </w:r>
      <w:r>
        <w:rPr>
          <w:rFonts w:hint="eastAsia" w:ascii="宋体" w:eastAsia="宋体" w:cs="宋体"/>
          <w:color w:val="000000"/>
        </w:rPr>
        <w:t>制订地方标准可以优化游客体验感</w:t>
      </w:r>
      <w:r>
        <w:rPr>
          <w:rStyle w:val="14"/>
          <w:rFonts w:hint="eastAsia" w:ascii="Arial" w:hAnsi="Arial" w:cs="Arial"/>
          <w:color w:val="333333"/>
          <w:shd w:val="clear" w:color="auto" w:fill="FFFFFF"/>
        </w:rPr>
        <w:t>。</w:t>
      </w:r>
      <w:r>
        <w:rPr>
          <w:rFonts w:hint="eastAsia" w:ascii="Times New Roman" w:hAnsi="Times New Roman" w:eastAsia="宋体" w:cs="Times New Roman"/>
          <w:color w:val="000000"/>
        </w:rPr>
        <w:t>针对游客反馈的仪式参与混乱问题，标准可规范服饰穿戴、酒器操作等细节，如限定陶酒壶倾角、酒液流速控制等，提升沉浸式体验的舒适度与安全性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hint="eastAsia" w:ascii="Times New Roman" w:hAnsi="Times New Roman" w:eastAsia="宋体" w:cs="Times New Roman"/>
          <w:color w:val="000000"/>
        </w:rPr>
        <w:t>。</w:t>
      </w:r>
    </w:p>
    <w:p w14:paraId="42FD14D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ascii="Times New Roman" w:hAnsi="Times New Roman" w:eastAsia="宋体" w:cs="Times New Roman"/>
          <w:color w:val="000000"/>
        </w:rPr>
      </w:pPr>
      <w:r>
        <w:rPr>
          <w:rFonts w:hint="eastAsia"/>
          <w:color w:val="000000"/>
        </w:rPr>
        <w:t>总之，</w:t>
      </w:r>
      <w:r>
        <w:rPr>
          <w:rFonts w:hint="eastAsia" w:ascii="宋体" w:eastAsia="宋体" w:cs="宋体"/>
          <w:color w:val="000000"/>
        </w:rPr>
        <w:t>制订</w:t>
      </w:r>
      <w:r>
        <w:rPr>
          <w:rFonts w:hint="eastAsia"/>
          <w:color w:val="000000"/>
        </w:rPr>
        <w:t>地方标准是破解文化失真、产业无序竞争的关键举措，通过技术参数固化、传承体系重构和体验场景创新，实现民族文化保护与区域经济发展的双重价值。</w:t>
      </w:r>
    </w:p>
    <w:p w14:paraId="03979628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textAlignment w:val="auto"/>
        <w:rPr>
          <w:rFonts w:hint="eastAsia" w:ascii="楷体" w:eastAsia="楷体" w:cs="宋体"/>
          <w:b/>
          <w:bCs/>
          <w:color w:val="000000"/>
        </w:rPr>
      </w:pPr>
      <w:r>
        <w:rPr>
          <w:rFonts w:hint="eastAsia" w:ascii="楷体" w:eastAsia="楷体" w:cs="宋体"/>
          <w:b/>
          <w:bCs/>
          <w:color w:val="000000"/>
        </w:rPr>
        <w:t>（三）主要内容</w:t>
      </w:r>
    </w:p>
    <w:p w14:paraId="236D644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本标准规定了</w:t>
      </w:r>
      <w:bookmarkStart w:id="3" w:name="_Hlk195539427"/>
      <w:r>
        <w:rPr>
          <w:rFonts w:hint="eastAsia" w:ascii="宋体" w:eastAsia="宋体" w:cs="宋体"/>
          <w:color w:val="000000"/>
        </w:rPr>
        <w:t>“高山流水”敬酒民俗礼仪</w:t>
      </w:r>
      <w:bookmarkEnd w:id="3"/>
      <w:r>
        <w:rPr>
          <w:rFonts w:hint="eastAsia" w:ascii="宋体" w:eastAsia="宋体" w:cs="宋体"/>
          <w:color w:val="000000"/>
        </w:rPr>
        <w:t>的有关术语、基本要求、接待服务流程及要求、制度管理、持续改进等内容。</w:t>
      </w:r>
    </w:p>
    <w:p w14:paraId="1F7794C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黑体" w:eastAsia="黑体" w:cs="宋体"/>
          <w:b w:val="0"/>
          <w:bCs w:val="0"/>
          <w:color w:val="000000"/>
        </w:rPr>
      </w:pPr>
      <w:r>
        <w:rPr>
          <w:rFonts w:hint="eastAsia" w:ascii="黑体" w:eastAsia="黑体" w:cs="宋体"/>
          <w:b w:val="0"/>
          <w:bCs w:val="0"/>
          <w:color w:val="000000"/>
        </w:rPr>
        <w:t>二、工作简况</w:t>
      </w:r>
    </w:p>
    <w:p w14:paraId="2D6A5D0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2" w:firstLineChars="200"/>
        <w:textAlignment w:val="auto"/>
        <w:rPr>
          <w:rFonts w:hint="eastAsia" w:ascii="楷体" w:eastAsia="楷体" w:cs="宋体"/>
          <w:b/>
          <w:bCs/>
          <w:color w:val="000000"/>
        </w:rPr>
      </w:pPr>
      <w:r>
        <w:rPr>
          <w:rFonts w:hint="eastAsia" w:ascii="楷体" w:eastAsia="楷体" w:cs="宋体"/>
          <w:b/>
          <w:bCs/>
          <w:color w:val="000000"/>
        </w:rPr>
        <w:t>（一）任务来源</w:t>
      </w:r>
    </w:p>
    <w:p w14:paraId="5A642284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楷体" w:eastAsia="楷体" w:cs="宋体"/>
          <w:b/>
          <w:bCs/>
          <w:color w:val="000000"/>
        </w:rPr>
      </w:pPr>
      <w:r>
        <w:rPr>
          <w:rFonts w:hint="eastAsia" w:ascii="宋体" w:eastAsia="宋体" w:cs="宋体"/>
          <w:color w:val="000000"/>
        </w:rPr>
        <w:t>根据《省市场监管局关于同意立项制定</w:t>
      </w:r>
      <w:r>
        <w:t>&lt;</w:t>
      </w:r>
      <w:r>
        <w:rPr>
          <w:rFonts w:hint="eastAsia" w:ascii="宋体" w:eastAsia="宋体" w:cs="宋体"/>
          <w:color w:val="000000"/>
        </w:rPr>
        <w:t>番茄穴盘育苗技术规程</w:t>
      </w:r>
      <w:r>
        <w:t>&gt;</w:t>
      </w:r>
      <w:r>
        <w:rPr>
          <w:rFonts w:hint="eastAsia" w:ascii="宋体" w:eastAsia="宋体" w:cs="宋体"/>
          <w:color w:val="000000"/>
        </w:rPr>
        <w:t>等10项黔东南州2025年第一批地方标准项目的批复》以及黔东南州市场监督管理局下发的《黔东南州市场监管局关于下达2025年第一批黔东南州地方标准制定项目计划的通知》，同意立项《“高山流水”敬酒民俗礼仪规范》，由黔东南民族职业技术学院牵头制订。</w:t>
      </w:r>
    </w:p>
    <w:p w14:paraId="11E919B3">
      <w:pPr>
        <w:pStyle w:val="11"/>
        <w:spacing w:before="0" w:beforeAutospacing="0" w:after="0" w:afterAutospacing="0" w:line="460" w:lineRule="exact"/>
        <w:ind w:firstLine="482" w:firstLineChars="200"/>
        <w:rPr>
          <w:rFonts w:hint="eastAsia" w:ascii="楷体" w:eastAsia="楷体" w:cs="宋体"/>
          <w:b/>
          <w:bCs/>
          <w:color w:val="000000"/>
        </w:rPr>
      </w:pPr>
      <w:r>
        <w:rPr>
          <w:rFonts w:hint="eastAsia" w:ascii="楷体" w:eastAsia="楷体" w:cs="宋体"/>
          <w:b/>
          <w:bCs/>
          <w:color w:val="000000"/>
        </w:rPr>
        <w:t>（二）编制过程</w:t>
      </w:r>
    </w:p>
    <w:p w14:paraId="4A2AFE7A">
      <w:pPr>
        <w:spacing w:line="460" w:lineRule="exact"/>
        <w:ind w:firstLine="480" w:firstLineChars="200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本文件的编制工作分以下阶段：</w:t>
      </w:r>
    </w:p>
    <w:p w14:paraId="03F95616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w:t>1.立项阶段</w:t>
      </w:r>
    </w:p>
    <w:p w14:paraId="3E5BD80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（1）数据收集：2024年8月-2024年9月，组建标准起草小组，收集标准编制的背景材料和有关标准编制的参考、引用资料，进行归纳整理。共查阅国内外文献120篇，整理归类有关高山流水的文献11篇，使用参考文献3篇。</w:t>
      </w:r>
    </w:p>
    <w:p w14:paraId="60F286D1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（2）实地调查：2024年10月-2024年11月，前往黔东南州西江苗寨、肇兴侗寨、万达小镇进行调研，了解高山流水的文化内涵、接待场所、器皿、接待流程、特色服务等，并进行归纳整理，制定标准草案，报批立项。</w:t>
      </w:r>
    </w:p>
    <w:p w14:paraId="1AC4A247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2.起草阶段</w:t>
      </w:r>
    </w:p>
    <w:p w14:paraId="7FCDDF4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2024年1月</w:t>
      </w:r>
      <w:bookmarkStart w:id="4" w:name="_Hlk178450551"/>
      <w:r>
        <w:rPr>
          <w:rFonts w:hint="eastAsia" w:ascii="宋体" w:eastAsia="宋体" w:cs="宋体"/>
          <w:color w:val="000000"/>
        </w:rPr>
        <w:t>-</w:t>
      </w:r>
      <w:bookmarkEnd w:id="4"/>
      <w:r>
        <w:rPr>
          <w:rFonts w:hint="eastAsia" w:ascii="宋体" w:eastAsia="宋体" w:cs="宋体"/>
          <w:color w:val="000000"/>
        </w:rPr>
        <w:t>2024年4月，在对标准的主要内容进行综合分析和充分论证、内部讨论的基础上，按照GB/T 1.1—2020《标准化工作导则 第1部分：标准化文件的结构和起草规则》编写地方标准和编制说明的征求意见稿。</w:t>
      </w:r>
    </w:p>
    <w:p w14:paraId="178A0F0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3.征求意见阶段</w:t>
      </w:r>
    </w:p>
    <w:p w14:paraId="2A7EABB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480" w:firstLineChars="200"/>
        <w:textAlignment w:val="auto"/>
        <w:rPr>
          <w:rFonts w:hint="eastAsia" w:asci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2024年4月15日，编制组</w:t>
      </w:r>
      <w:r>
        <w:rPr>
          <w:rFonts w:hint="eastAsia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定向</w:t>
      </w:r>
      <w:r>
        <w:rPr>
          <w:rFonts w:hint="eastAsia" w:asci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征求了黔东南民族职业技术学院</w:t>
      </w:r>
      <w:r>
        <w:rPr>
          <w:rFonts w:asci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凯里学院、西江、肇兴侗寨景区管委会、标准化专家的意见建议，收到</w:t>
      </w:r>
      <w:r>
        <w:rPr>
          <w:rFonts w:hint="eastAsia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条修改意见。</w:t>
      </w:r>
      <w:r>
        <w:rPr>
          <w:rFonts w:hint="eastAsia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修改完善后报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黔东南州市场监督管理局</w:t>
      </w:r>
      <w:r>
        <w:rPr>
          <w:rFonts w:hint="eastAsia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挂网征求意见。</w:t>
      </w:r>
    </w:p>
    <w:p w14:paraId="7227F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4.技术审查阶段</w:t>
      </w:r>
    </w:p>
    <w:p w14:paraId="0BD44FD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5年7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月 X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日，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黔东南州市场监督管理局</w:t>
      </w:r>
      <w:r>
        <w:rPr>
          <w:rFonts w:hint="eastAsia" w:ascii="宋体" w:eastAsia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组织专家召开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《“高山流水”敬酒民俗礼仪规范》技术审查</w:t>
      </w:r>
      <w:r>
        <w:rPr>
          <w:rFonts w:hint="eastAsia" w:asci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会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，专家组对黔东南州地方标准《“高山流水”敬酒民俗礼仪规范（送审稿）》和编制说明</w:t>
      </w:r>
      <w:bookmarkStart w:id="9" w:name="_GoBack"/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送审稿</w:t>
      </w:r>
      <w:bookmarkEnd w:id="9"/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进行审查，专家组在听取标准编制情况汇报后，经质询、答疑、逐条讨论并进行修改。</w:t>
      </w:r>
    </w:p>
    <w:p w14:paraId="30B3E8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eastAsia="宋体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5.报批发布阶段</w:t>
      </w:r>
    </w:p>
    <w:p w14:paraId="5EAFAC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2025年8月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X 日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编制单位按专家组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意见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进行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修改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完善，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形成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“高山流水”敬酒民俗礼仪规范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报批稿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》和编制说明（报批稿）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，报送黔东南州市场监督管理局审批</w:t>
      </w:r>
      <w:r>
        <w:rPr>
          <w:rFonts w:hint="eastAsia"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并向社会</w:t>
      </w:r>
      <w:r>
        <w:rPr>
          <w:rFonts w:asci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发布。</w:t>
      </w:r>
    </w:p>
    <w:p w14:paraId="403FB212">
      <w:pPr>
        <w:pStyle w:val="11"/>
        <w:spacing w:before="0" w:beforeAutospacing="0" w:after="0" w:afterAutospacing="0" w:line="460" w:lineRule="exact"/>
        <w:ind w:firstLine="482" w:firstLineChars="200"/>
        <w:rPr>
          <w:rFonts w:hint="eastAsia" w:ascii="宋体" w:eastAsia="宋体" w:cs="宋体"/>
          <w:color w:val="FF0000"/>
        </w:rPr>
      </w:pPr>
      <w:r>
        <w:rPr>
          <w:rFonts w:hint="eastAsia" w:ascii="楷体" w:eastAsia="楷体"/>
          <w:b/>
          <w:bCs/>
          <w:color w:val="000000"/>
        </w:rPr>
        <w:t>（三）主要起草人及其工作分工</w:t>
      </w:r>
    </w:p>
    <w:p w14:paraId="08B73E6B">
      <w:pPr>
        <w:pStyle w:val="11"/>
        <w:spacing w:before="0" w:beforeAutospacing="0" w:after="0" w:afterAutospacing="0" w:line="460" w:lineRule="exact"/>
        <w:ind w:firstLine="680"/>
        <w:jc w:val="center"/>
        <w:rPr>
          <w:rFonts w:hint="eastAsia" w:ascii="宋体" w:eastAsia="宋体" w:cs="宋体"/>
          <w:b/>
          <w:bCs/>
          <w:color w:val="000000"/>
        </w:rPr>
      </w:pPr>
      <w:r>
        <w:rPr>
          <w:rFonts w:hint="eastAsia" w:ascii="宋体" w:eastAsia="宋体" w:cs="宋体"/>
          <w:b/>
          <w:bCs/>
          <w:color w:val="000000"/>
        </w:rPr>
        <w:t>表1 主要起草人及其分工一览表</w:t>
      </w:r>
    </w:p>
    <w:tbl>
      <w:tblPr>
        <w:tblStyle w:val="1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1"/>
        <w:gridCol w:w="1560"/>
        <w:gridCol w:w="1842"/>
        <w:gridCol w:w="1879"/>
      </w:tblGrid>
      <w:tr w14:paraId="66F20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707221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eastAsia="宋体" w:cs="宋体"/>
                <w:b/>
                <w:kern w:val="0"/>
                <w:szCs w:val="21"/>
              </w:rPr>
              <w:t>主要起草单位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0B14A28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eastAsia="宋体" w:cs="宋体"/>
                <w:b/>
                <w:kern w:val="0"/>
                <w:szCs w:val="21"/>
              </w:rPr>
              <w:t>主要起草人员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2EC4D1B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eastAsia="宋体" w:cs="宋体"/>
                <w:b/>
                <w:kern w:val="0"/>
                <w:szCs w:val="21"/>
              </w:rPr>
              <w:t>职称/职务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20EA49F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b/>
                <w:kern w:val="0"/>
                <w:szCs w:val="21"/>
              </w:rPr>
            </w:pPr>
            <w:r>
              <w:rPr>
                <w:rFonts w:hint="eastAsia" w:ascii="宋体" w:eastAsia="宋体" w:cs="宋体"/>
                <w:b/>
                <w:kern w:val="0"/>
                <w:szCs w:val="21"/>
              </w:rPr>
              <w:t>任务分工</w:t>
            </w:r>
          </w:p>
        </w:tc>
      </w:tr>
      <w:tr w14:paraId="59017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C0985A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/>
              </w:rPr>
              <w:t>黔东南民族职业技术学院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70838B8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/>
              </w:rPr>
              <w:t>蒋友财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8B2CFFD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/>
              </w:rPr>
              <w:t>教授/教务处处长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6E58357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总负责、文本撰写</w:t>
            </w:r>
          </w:p>
        </w:tc>
      </w:tr>
      <w:tr w14:paraId="52502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362C0B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黔东南民族职业技术学院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D7FB9B2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龙大武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33A62F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2640769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资料收集、工作协调</w:t>
            </w:r>
          </w:p>
        </w:tc>
      </w:tr>
      <w:tr w14:paraId="4628B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F558CE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贵州大学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5148825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向富华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AE71B7B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副教授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587E6C2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实地调研、文本撰写</w:t>
            </w:r>
          </w:p>
        </w:tc>
      </w:tr>
      <w:tr w14:paraId="7519D3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FF9EE3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黔东南州市场监督管理局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39A1B81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蒋文周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5E9AAFE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科长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A6574AB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实地调研、文本撰写</w:t>
            </w:r>
          </w:p>
        </w:tc>
      </w:tr>
      <w:tr w14:paraId="23C60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7923D0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黔东南州食品药品检验监测中心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453BCD4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杨永成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B922454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高级工程师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9573258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实地调研、文本修改</w:t>
            </w:r>
          </w:p>
        </w:tc>
      </w:tr>
      <w:tr w14:paraId="4E2A9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EF25A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贵州民族大学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31F3B6C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李天翼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E75F14B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教授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67F35C3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资料收集</w:t>
            </w:r>
          </w:p>
        </w:tc>
      </w:tr>
      <w:tr w14:paraId="3ACFF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BD50E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黔东南民族职业技术学院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A85E4B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彭晓青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3E3FFB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FB4AD4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资料收集</w:t>
            </w:r>
          </w:p>
        </w:tc>
      </w:tr>
      <w:tr w14:paraId="56590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5B18DC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/>
              </w:rPr>
              <w:t>黔东南民族职业技术学院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D53B53B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/>
              </w:rPr>
              <w:t>邹雪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59D2679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教授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C794F20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文本修改</w:t>
            </w:r>
          </w:p>
        </w:tc>
      </w:tr>
      <w:tr w14:paraId="00F84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07073D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黔东南民族职业技术学院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21886A5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卿斐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93A73F7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副教授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287F5B26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/>
              </w:rPr>
              <w:t>实地调研</w:t>
            </w:r>
          </w:p>
        </w:tc>
      </w:tr>
      <w:tr w14:paraId="651B5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9E5B5B">
            <w:pPr>
              <w:jc w:val="center"/>
            </w:pPr>
            <w:r>
              <w:rPr>
                <w:rFonts w:hint="eastAsia"/>
              </w:rPr>
              <w:t>黔东南民族职业技术学院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2782D6E">
            <w:pPr>
              <w:jc w:val="center"/>
            </w:pPr>
            <w:r>
              <w:rPr>
                <w:rFonts w:hint="eastAsia"/>
              </w:rPr>
              <w:t>张刚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6B54D597"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25DD567">
            <w:pPr>
              <w:jc w:val="center"/>
            </w:pPr>
            <w:r>
              <w:rPr>
                <w:rFonts w:hint="eastAsia"/>
              </w:rPr>
              <w:t>资料收集</w:t>
            </w:r>
          </w:p>
        </w:tc>
      </w:tr>
      <w:tr w14:paraId="6EE17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E64B2A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贵阳职业技术学院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DBE0645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丁孟利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6CA5FB7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讲师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F810A66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文本撰写</w:t>
            </w:r>
          </w:p>
        </w:tc>
      </w:tr>
      <w:tr w14:paraId="409B2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32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4D536E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贵州大学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EF55582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罗嫚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49B22CE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无</w:t>
            </w:r>
          </w:p>
        </w:tc>
        <w:tc>
          <w:tcPr>
            <w:tcW w:w="18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8D94AB1">
            <w:pPr>
              <w:widowControl/>
              <w:adjustRightInd w:val="0"/>
              <w:snapToGrid w:val="0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数据收集、实地调研</w:t>
            </w:r>
          </w:p>
        </w:tc>
      </w:tr>
    </w:tbl>
    <w:p w14:paraId="0F9B1FDF"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460" w:lineRule="exact"/>
        <w:ind w:firstLine="480" w:firstLineChars="200"/>
        <w:rPr>
          <w:rFonts w:hint="eastAsia" w:ascii="黑体" w:eastAsia="黑体"/>
          <w:b w:val="0"/>
          <w:bCs w:val="0"/>
        </w:rPr>
      </w:pPr>
      <w:r>
        <w:rPr>
          <w:rFonts w:hint="eastAsia" w:ascii="黑体" w:eastAsia="黑体"/>
          <w:b w:val="0"/>
          <w:bCs w:val="0"/>
        </w:rPr>
        <w:t>三</w:t>
      </w:r>
      <w:r>
        <w:rPr>
          <w:rFonts w:ascii="黑体" w:eastAsia="黑体"/>
          <w:b w:val="0"/>
          <w:bCs w:val="0"/>
        </w:rPr>
        <w:t>、主要条款的</w:t>
      </w:r>
      <w:r>
        <w:rPr>
          <w:rFonts w:hint="eastAsia" w:ascii="黑体" w:eastAsia="黑体"/>
          <w:b w:val="0"/>
          <w:bCs w:val="0"/>
        </w:rPr>
        <w:t>说明及确定依据</w:t>
      </w:r>
    </w:p>
    <w:p w14:paraId="7EC38EE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460" w:lineRule="exact"/>
        <w:ind w:firstLine="482" w:firstLineChars="200"/>
        <w:textAlignment w:val="baseline"/>
        <w:rPr>
          <w:rFonts w:hint="eastAsia" w:ascii="楷体" w:eastAsia="楷体" w:cs="楷体"/>
          <w:b/>
          <w:bCs/>
          <w:kern w:val="0"/>
          <w:sz w:val="24"/>
        </w:rPr>
      </w:pPr>
      <w:r>
        <w:rPr>
          <w:rFonts w:hint="eastAsia" w:ascii="楷体" w:eastAsia="楷体" w:cs="楷体"/>
          <w:b/>
          <w:bCs/>
          <w:kern w:val="0"/>
          <w:sz w:val="24"/>
        </w:rPr>
        <w:t>（一）编制的原则</w:t>
      </w:r>
    </w:p>
    <w:p w14:paraId="7A908F1B">
      <w:pPr>
        <w:pStyle w:val="17"/>
        <w:keepNext w:val="0"/>
        <w:keepLines w:val="0"/>
        <w:pageBreakBefore w:val="0"/>
        <w:tabs>
          <w:tab w:val="left" w:pos="1440"/>
        </w:tabs>
        <w:kinsoku/>
        <w:wordWrap/>
        <w:overflowPunct/>
        <w:topLinePunct w:val="0"/>
        <w:bidi w:val="0"/>
        <w:snapToGrid/>
        <w:spacing w:line="460" w:lineRule="exac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1.准确性。标准所规定的条款明确且无歧义。</w:t>
      </w:r>
    </w:p>
    <w:p w14:paraId="68F819F0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ind w:firstLine="480" w:firstLineChars="200"/>
        <w:rPr>
          <w:rFonts w:hint="eastAsia" w:ascii="宋体" w:cs="宋体"/>
          <w:b/>
          <w:bCs/>
          <w:sz w:val="24"/>
        </w:rPr>
      </w:pPr>
      <w:r>
        <w:rPr>
          <w:rFonts w:hint="eastAsia" w:ascii="宋体" w:cs="宋体"/>
          <w:sz w:val="24"/>
        </w:rPr>
        <w:t>2.统一性。标准结构、文体和术语力求统一。本文件在编制过程中涉及其结构、编写规则和内容按照GB/T 1.1-2020《标准化工作导则 第1部分：标准化文件的结构和起草规则》要求编制。</w:t>
      </w:r>
    </w:p>
    <w:p w14:paraId="579846C0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3.协调性。充分结合现有基础标准的有关条款，达到标准间的相互协调。</w:t>
      </w:r>
    </w:p>
    <w:p w14:paraId="529A727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4.适用性。标准内容易于实施，便于被其它文件所引用且具可操作性。</w:t>
      </w:r>
      <w:r>
        <w:rPr>
          <w:rFonts w:hint="eastAsia" w:cs="宋体"/>
          <w:kern w:val="2"/>
          <w:sz w:val="24"/>
          <w:szCs w:val="24"/>
        </w:rPr>
        <w:t>同时本标准进行了大量实地调查研究，在生产实践验证的基础上编制出来的。</w:t>
      </w:r>
      <w:r>
        <w:rPr>
          <w:rFonts w:hint="eastAsia" w:cs="宋体"/>
          <w:sz w:val="24"/>
          <w:szCs w:val="24"/>
        </w:rPr>
        <w:t>标准实用性和可操作性强，管理者、设计人员、生产人员能看得懂，并且能按照标准规定进行实际操作。</w:t>
      </w:r>
    </w:p>
    <w:p w14:paraId="67C06704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460" w:lineRule="exac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5.特殊性。本文件遵循相关国家标准和地方标准的要求，将地方特色与国家标准结合起来。</w:t>
      </w:r>
    </w:p>
    <w:p w14:paraId="4D15305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/>
        <w:spacing w:line="460" w:lineRule="exact"/>
        <w:ind w:firstLine="482" w:firstLineChars="200"/>
        <w:textAlignment w:val="baseline"/>
        <w:rPr>
          <w:rFonts w:hint="eastAsia" w:ascii="宋体" w:cs="宋体"/>
          <w:color w:val="000000"/>
          <w:sz w:val="24"/>
        </w:rPr>
      </w:pPr>
      <w:r>
        <w:rPr>
          <w:rFonts w:hint="eastAsia" w:ascii="楷体" w:eastAsia="楷体" w:cs="楷体"/>
          <w:b/>
          <w:bCs/>
          <w:color w:val="000000"/>
          <w:kern w:val="0"/>
          <w:sz w:val="24"/>
        </w:rPr>
        <w:t>（二）标准主要条款确定依据</w:t>
      </w:r>
    </w:p>
    <w:p w14:paraId="7B2BFD9A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1.本文件编制，参照相关文献研究，按照GB/T 1.1-2020《标准化工作导则 第1部分：标准化文件的结构和起草规则》要求进行起草，编制过程参考11个标准及3篇研究论文（参考文献附后）。</w:t>
      </w:r>
    </w:p>
    <w:p w14:paraId="7669FB0F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2.</w:t>
      </w:r>
      <w:r>
        <w:rPr>
          <w:rFonts w:hint="eastAsia"/>
          <w:color w:val="000000"/>
        </w:rPr>
        <w:t xml:space="preserve"> </w:t>
      </w:r>
      <w:r>
        <w:rPr>
          <w:rFonts w:hint="eastAsia" w:cs="宋体"/>
          <w:color w:val="000000"/>
          <w:sz w:val="24"/>
          <w:szCs w:val="24"/>
        </w:rPr>
        <w:t>本标准规定了“高山流水”敬酒民俗礼仪的有关术语、基本要求、接待服务流程及要求、制度管理、持续改进等。主要条款确定依据如下：</w:t>
      </w:r>
    </w:p>
    <w:p w14:paraId="73CA3C1F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（1）定义。“高山流水”敬酒民俗礼仪、酒歌、酒海、“斗菜”根据编制组在黔东南州西江苗寨、肇兴侗寨、万达小镇的调研进行总结，充分体现了“高山流水”敬酒民俗礼仪的特征。</w:t>
      </w:r>
    </w:p>
    <w:p w14:paraId="521DC9B3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（2）适用场所。“高山流水”敬酒民俗礼仪来源于黔东南州少数民族的日常生活，但是现在越来越成为旅游接待中的重要活动，因此使用场所特别增加了旅游接待场所。</w:t>
      </w:r>
    </w:p>
    <w:p w14:paraId="0BA9402A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（3）资质要求。为保证食品安全，经营者应遵守“4.2 举行</w:t>
      </w:r>
      <w:bookmarkStart w:id="5" w:name="_Hlk195709945"/>
      <w:r>
        <w:rPr>
          <w:rFonts w:hint="eastAsia" w:cs="宋体"/>
          <w:color w:val="000000"/>
          <w:sz w:val="24"/>
          <w:szCs w:val="24"/>
        </w:rPr>
        <w:t>高山流水敬酒礼仪</w:t>
      </w:r>
      <w:bookmarkEnd w:id="5"/>
      <w:r>
        <w:rPr>
          <w:rFonts w:hint="eastAsia" w:cs="宋体"/>
          <w:color w:val="000000"/>
          <w:sz w:val="24"/>
          <w:szCs w:val="24"/>
        </w:rPr>
        <w:t>的餐饮服务提供者应依法取得食品经营许可并始终保持合法有效，从事各类餐饮服务活动均应符合GB 31654的规定”。</w:t>
      </w:r>
    </w:p>
    <w:p w14:paraId="3DA66BF1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（4）场所要求。首先，“高山流水”敬酒民俗礼仪开展的场地应该满足消防安全要求，</w:t>
      </w:r>
      <w:bookmarkStart w:id="6" w:name="_Hlk195711347"/>
      <w:r>
        <w:rPr>
          <w:rFonts w:hint="eastAsia" w:cs="宋体"/>
          <w:color w:val="000000"/>
          <w:sz w:val="24"/>
          <w:szCs w:val="24"/>
        </w:rPr>
        <w:t>因此应符合4.3.1和4.3.2的要求</w:t>
      </w:r>
      <w:bookmarkEnd w:id="6"/>
      <w:r>
        <w:rPr>
          <w:rFonts w:hint="eastAsia" w:cs="宋体"/>
          <w:color w:val="000000"/>
          <w:sz w:val="24"/>
          <w:szCs w:val="24"/>
        </w:rPr>
        <w:t>；其次，“高山流水”敬酒民俗礼仪开展的场地应满足基本的环境和服务要求，因此应符合4.3.3、4.3.4、4.3.5、4.3.6的要求；第三，“高山流水”敬酒民俗礼仪开展的场地应该具备一定的文化特色，因此应符合4.3.7、4.3.8的要求。</w:t>
      </w:r>
    </w:p>
    <w:p w14:paraId="49860FB4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（5）人员要求。首先，服务人员应该具备基本的服务礼仪，</w:t>
      </w:r>
      <w:bookmarkStart w:id="7" w:name="_Hlk195712937"/>
      <w:r>
        <w:rPr>
          <w:rFonts w:hint="eastAsia" w:cs="宋体"/>
          <w:color w:val="000000"/>
          <w:sz w:val="24"/>
          <w:szCs w:val="24"/>
        </w:rPr>
        <w:t>因此应符合4.4.1、4.4.2、4.4.3的要求</w:t>
      </w:r>
      <w:bookmarkEnd w:id="7"/>
      <w:r>
        <w:rPr>
          <w:rFonts w:hint="eastAsia" w:cs="宋体"/>
          <w:color w:val="000000"/>
          <w:sz w:val="24"/>
          <w:szCs w:val="24"/>
        </w:rPr>
        <w:t>。其次，服务人员应该具备民族文化服务特色的服务技能，因此应符合4.4.4、4.4.5的要求。</w:t>
      </w:r>
    </w:p>
    <w:p w14:paraId="24921156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（6）器具要求。首先，饮酒器具应该符合食品安全卫生要求，因此应符合4.5.1的要求。其次，饮酒器具应该符合卫生要求，</w:t>
      </w:r>
      <w:bookmarkStart w:id="8" w:name="_Hlk195713163"/>
      <w:r>
        <w:rPr>
          <w:rFonts w:hint="eastAsia" w:cs="宋体"/>
          <w:color w:val="000000"/>
          <w:sz w:val="24"/>
          <w:szCs w:val="24"/>
        </w:rPr>
        <w:t>因此应符合4.5.2、4.5.3的要求。</w:t>
      </w:r>
      <w:bookmarkEnd w:id="8"/>
      <w:r>
        <w:rPr>
          <w:rFonts w:hint="eastAsia" w:cs="宋体"/>
          <w:color w:val="000000"/>
          <w:sz w:val="24"/>
          <w:szCs w:val="24"/>
        </w:rPr>
        <w:t>第三，饮酒器具应该具备一定的文化特色，因此应符合4.5.4的要求。</w:t>
      </w:r>
    </w:p>
    <w:p w14:paraId="6A2A003C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7）饮用酒要求。首先，饮用酒应该符合食品安全要求，因此应符合4.6.1的要求。其次，饮用酒应该采用当地酿造的饮用酒，体现地方特色，因此应符合4.6.2的要求。第三，因为部分宾客不能饮酒，应该准备茶或者水代替，因此应该符合4.6.3的要求。</w:t>
      </w:r>
    </w:p>
    <w:p w14:paraId="221996F2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8）外宾场合。首先，为确保与外宾的沟通无障碍，应该为外宾提供翻译服务，因此应符合4.7.1的要求。其次，应该尊重宗教信仰和饮食习惯，因此应符合4.7.2的要求。第三，应该向外宾介绍高山流水的文化内涵。最后应该考虑外宾对高山流水敬酒礼仪相关活动的适应性，因此应符合4.7.3、4.7.4的要求。</w:t>
      </w:r>
    </w:p>
    <w:p w14:paraId="248571AF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（9）接待服务流程。根据实地调研，“高山流水”敬酒服务接待流程的前置的服务包括拦路迎宾、宴席准备；服务流程的核心是“高山流水”敬酒以及助兴活动，“高山流水”敬酒服务的后续服务是宴后送客。</w:t>
      </w:r>
    </w:p>
    <w:p w14:paraId="10C03716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10）拦路迎宾。拦路迎宾不仅体现少数民族的热情，而且可以激发客人的积极情绪，是“高山流水”敬酒民俗礼仪的“前奏”。根据实地调研，拦路迎宾的主要元素包括歌舞氛围的营造、喝拦路酒，对人员的基本要求是穿戴传统服饰，表现强烈的热情好客，因此应符合5.2.1、5.2.2、5.2.3的要求。</w:t>
      </w:r>
    </w:p>
    <w:p w14:paraId="2BA90364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（11）宴席准备。首先，应该摆放具有民族文化特色的餐具，并且要展示民族特色和美观性，因此应符合5.3.1的要求。其次，应该向宾客介绍特色菜肴，进一步展示民族文化特色，因此应符合5.3.2的要求。</w:t>
      </w:r>
    </w:p>
    <w:p w14:paraId="30D49EE5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（12）敬酒礼仪。首先，应该规定敬酒的顺序，因此应符合5.4.1的要求。第三，应该规定敬酒的方式，因此应符合5.4.2的要求。最后，应该规定敬酒的注意事项，因此应符合5.4.3、5.4.4的要求。</w:t>
      </w:r>
    </w:p>
    <w:p w14:paraId="73DF9917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13）助兴活动。助兴活动是高山流水敬酒民俗礼仪中的“催化剂”，目的是营造更加浓烈的氛围，让所有宾客充分参与和体验民族文化，使每个人的情绪都达到一种兴奋状态。助兴活动主要包括民族歌曲表演、“斗菜”“撞腰”等因此应符合5.5.1、5.5.2的要求。</w:t>
      </w:r>
    </w:p>
    <w:p w14:paraId="629676AF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14）宴后送客。宴后送客是高山流水敬酒民俗礼仪的收尾阶段，也是最后展示民族文化的时刻。首先应该提醒宾客不要忘掉随身物品，因此应符合5.6.1的要求。其次，可以提供具有民族特色的伴手礼供宾客选购，因此应符合5.6.2的要求。最后，在允许的情况下利用歌舞进行送别，再次体现少数民族热情好客的特点，因此应符合5.6.3的要求。</w:t>
      </w:r>
    </w:p>
    <w:p w14:paraId="50BA53BA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（15）制度管理。为使高山流水敬酒民俗礼仪的经营者更好的提供服务，建立长效机制，编制了“6 制度管理”条款。</w:t>
      </w:r>
    </w:p>
    <w:p w14:paraId="15C883ED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（16）持续改进。为使高山流水敬酒民俗礼仪得到有效监督，畅通投诉、沟通、反馈渠道，编制了“7 程序改进”条款。</w:t>
      </w:r>
    </w:p>
    <w:p w14:paraId="532C8D5E">
      <w:pPr>
        <w:pStyle w:val="17"/>
        <w:spacing w:line="460" w:lineRule="exact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（17）持续改进。为使高山流水敬酒民俗礼仪得到有效监督，畅通投诉、沟通、反馈渠道，编制了“7 程序改进”条款。</w:t>
      </w:r>
    </w:p>
    <w:p w14:paraId="3532FA70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黑体" w:eastAsia="黑体"/>
          <w:b w:val="0"/>
          <w:bCs w:val="0"/>
          <w:color w:val="000000"/>
        </w:rPr>
      </w:pPr>
      <w:r>
        <w:rPr>
          <w:rFonts w:hint="eastAsia" w:ascii="黑体" w:eastAsia="黑体"/>
          <w:b w:val="0"/>
          <w:bCs w:val="0"/>
          <w:color w:val="000000"/>
        </w:rPr>
        <w:t>四、主要分析报告</w:t>
      </w:r>
    </w:p>
    <w:p w14:paraId="33EE0ED2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本文件每一项内容都遵循国家有关的法律、法规和规章制度，严格按照GB/T 1.1《标准化工作导则 第1部分：标准化文件的结构和起草规则》等国家标准的要求进行编写。制定过程经过调研、征求意见等环节，标准实用性和可操作性强，能按照标准规定进行识别和实际操作。</w:t>
      </w:r>
    </w:p>
    <w:p w14:paraId="15133C2D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黑体" w:eastAsia="黑体"/>
          <w:b w:val="0"/>
          <w:bCs w:val="0"/>
          <w:color w:val="000000"/>
        </w:rPr>
      </w:pPr>
      <w:r>
        <w:rPr>
          <w:rFonts w:hint="eastAsia" w:ascii="黑体" w:eastAsia="黑体"/>
          <w:b w:val="0"/>
          <w:bCs w:val="0"/>
          <w:color w:val="000000"/>
        </w:rPr>
        <w:t>五、标准实施后对经济和社会发展的预期影响及论证</w:t>
      </w:r>
    </w:p>
    <w:p w14:paraId="010E9798">
      <w:pPr>
        <w:pStyle w:val="11"/>
        <w:shd w:val="clear" w:color="auto" w:fill="FFFFFF"/>
        <w:spacing w:before="0" w:beforeAutospacing="0" w:after="0" w:afterAutospacing="0" w:line="460" w:lineRule="exact"/>
        <w:ind w:firstLine="480" w:firstLineChars="200"/>
        <w:rPr>
          <w:rFonts w:hint="eastAsia" w:ascii="宋体" w:eastAsia="宋体" w:cs="宋体"/>
          <w:color w:val="000000"/>
        </w:rPr>
      </w:pPr>
      <w:r>
        <w:rPr>
          <w:rFonts w:ascii="宋体" w:eastAsia="宋体" w:cs="宋体"/>
          <w:color w:val="000000"/>
        </w:rPr>
        <w:t>通过制定和实施</w:t>
      </w:r>
      <w:r>
        <w:rPr>
          <w:rFonts w:hint="eastAsia" w:ascii="宋体" w:eastAsia="宋体" w:cs="宋体"/>
          <w:color w:val="000000"/>
        </w:rPr>
        <w:t>本</w:t>
      </w:r>
      <w:r>
        <w:rPr>
          <w:rFonts w:ascii="宋体" w:eastAsia="宋体" w:cs="宋体"/>
          <w:color w:val="000000"/>
        </w:rPr>
        <w:t>标准，</w:t>
      </w:r>
      <w:r>
        <w:rPr>
          <w:rFonts w:hint="eastAsia" w:ascii="宋体" w:eastAsia="宋体" w:cs="宋体"/>
          <w:color w:val="000000"/>
        </w:rPr>
        <w:t>可以</w:t>
      </w:r>
      <w:r>
        <w:rPr>
          <w:rFonts w:ascii="宋体" w:eastAsia="宋体" w:cs="宋体"/>
          <w:color w:val="000000"/>
        </w:rPr>
        <w:t>规范敬酒流程、服饰穿戴和酒器操作，可增强游客沉浸式体验的真实感，推动二次消费占比</w:t>
      </w:r>
      <w:r>
        <w:rPr>
          <w:rFonts w:hint="eastAsia" w:ascii="宋体" w:eastAsia="宋体" w:cs="宋体"/>
          <w:color w:val="000000"/>
        </w:rPr>
        <w:t>；</w:t>
      </w:r>
      <w:r>
        <w:rPr>
          <w:rFonts w:ascii="宋体" w:eastAsia="宋体" w:cs="宋体"/>
          <w:color w:val="000000"/>
        </w:rPr>
        <w:t>还能带动周边餐饮、住宿及非遗手工艺销售，显著提升游客参与度与消费黏性</w:t>
      </w:r>
      <w:r>
        <w:rPr>
          <w:rFonts w:hint="eastAsia" w:ascii="宋体" w:eastAsia="宋体" w:cs="宋体"/>
          <w:color w:val="000000"/>
        </w:rPr>
        <w:t>，</w:t>
      </w:r>
      <w:r>
        <w:rPr>
          <w:rFonts w:ascii="宋体" w:eastAsia="宋体" w:cs="宋体"/>
          <w:color w:val="000000"/>
        </w:rPr>
        <w:t>形成“文化体验</w:t>
      </w:r>
      <w:r>
        <w:rPr>
          <w:rFonts w:hint="eastAsia" w:ascii="宋体" w:eastAsia="宋体" w:cs="宋体"/>
          <w:color w:val="000000"/>
        </w:rPr>
        <w:t>—</w:t>
      </w:r>
      <w:r>
        <w:rPr>
          <w:rFonts w:ascii="宋体" w:eastAsia="宋体" w:cs="宋体"/>
          <w:color w:val="000000"/>
        </w:rPr>
        <w:t>消费转化</w:t>
      </w:r>
      <w:r>
        <w:rPr>
          <w:rFonts w:hint="eastAsia" w:ascii="宋体" w:eastAsia="宋体" w:cs="宋体"/>
          <w:color w:val="000000"/>
        </w:rPr>
        <w:t>—</w:t>
      </w:r>
      <w:r>
        <w:rPr>
          <w:rFonts w:ascii="宋体" w:eastAsia="宋体" w:cs="宋体"/>
          <w:color w:val="000000"/>
        </w:rPr>
        <w:t>产业联动”的良性循环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hint="eastAsia" w:ascii="宋体" w:eastAsia="宋体" w:cs="宋体"/>
          <w:color w:val="000000"/>
        </w:rPr>
        <w:t>，从而推动黔东南的文化旅游</w:t>
      </w:r>
      <w:r>
        <w:rPr>
          <w:rFonts w:ascii="宋体" w:eastAsia="宋体" w:cs="宋体"/>
          <w:color w:val="000000"/>
        </w:rPr>
        <w:t>产业升级，助力</w:t>
      </w:r>
      <w:r>
        <w:rPr>
          <w:rFonts w:hint="eastAsia" w:ascii="宋体" w:eastAsia="宋体" w:cs="宋体"/>
          <w:color w:val="000000"/>
        </w:rPr>
        <w:t>少数</w:t>
      </w:r>
      <w:r>
        <w:rPr>
          <w:rFonts w:ascii="宋体" w:eastAsia="宋体" w:cs="宋体"/>
          <w:color w:val="000000"/>
        </w:rPr>
        <w:t>民族地区共同富裕目标的实现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ascii="宋体" w:eastAsia="宋体" w:cs="宋体"/>
          <w:color w:val="000000"/>
        </w:rPr>
        <w:t>。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ascii="宋体" w:eastAsia="宋体" w:cs="宋体"/>
          <w:color w:val="000000"/>
        </w:rPr>
        <w:t>标准</w:t>
      </w:r>
      <w:r>
        <w:rPr>
          <w:rFonts w:hint="eastAsia" w:ascii="宋体" w:eastAsia="宋体" w:cs="宋体"/>
          <w:color w:val="000000"/>
        </w:rPr>
        <w:t>的实施还</w:t>
      </w:r>
      <w:r>
        <w:rPr>
          <w:rFonts w:ascii="宋体" w:eastAsia="宋体" w:cs="宋体"/>
          <w:color w:val="000000"/>
        </w:rPr>
        <w:t>将形成民族文化保护</w:t>
      </w:r>
      <w:r>
        <w:rPr>
          <w:rFonts w:hint="eastAsia" w:ascii="宋体" w:eastAsia="宋体" w:cs="宋体"/>
          <w:color w:val="000000"/>
        </w:rPr>
        <w:t>的</w:t>
      </w:r>
      <w:r>
        <w:rPr>
          <w:rFonts w:ascii="宋体" w:eastAsia="宋体" w:cs="宋体"/>
          <w:color w:val="000000"/>
        </w:rPr>
        <w:t>“黔东南方案”，为</w:t>
      </w:r>
      <w:r>
        <w:rPr>
          <w:rFonts w:hint="eastAsia" w:ascii="宋体" w:eastAsia="宋体" w:cs="宋体"/>
          <w:color w:val="000000"/>
        </w:rPr>
        <w:t>民俗文化</w:t>
      </w:r>
      <w:r>
        <w:rPr>
          <w:rFonts w:ascii="宋体" w:eastAsia="宋体" w:cs="宋体"/>
          <w:color w:val="000000"/>
        </w:rPr>
        <w:t>遗产提供可借鉴的现代转化路径，增强</w:t>
      </w:r>
      <w:r>
        <w:rPr>
          <w:rFonts w:hint="eastAsia" w:ascii="宋体" w:eastAsia="宋体" w:cs="宋体"/>
          <w:color w:val="000000"/>
        </w:rPr>
        <w:t>黔东南民族</w:t>
      </w:r>
      <w:r>
        <w:rPr>
          <w:rFonts w:ascii="宋体" w:eastAsia="宋体" w:cs="宋体"/>
          <w:color w:val="000000"/>
        </w:rPr>
        <w:t>文化</w:t>
      </w:r>
      <w:r>
        <w:rPr>
          <w:rFonts w:hint="eastAsia" w:ascii="宋体" w:eastAsia="宋体" w:cs="宋体"/>
          <w:color w:val="000000"/>
        </w:rPr>
        <w:t>的</w:t>
      </w:r>
      <w:r>
        <w:rPr>
          <w:rFonts w:ascii="宋体" w:eastAsia="宋体" w:cs="宋体"/>
          <w:color w:val="000000"/>
        </w:rPr>
        <w:t>影响力</w:t>
      </w:r>
      <w:r>
        <w:rPr>
          <w:rFonts w:ascii="Times New Roman" w:hAnsi="Times New Roman" w:eastAsia="宋体" w:cs="Times New Roman"/>
          <w:color w:val="000000"/>
        </w:rPr>
        <w:t>‌</w:t>
      </w:r>
      <w:r>
        <w:rPr>
          <w:rFonts w:ascii="宋体" w:eastAsia="宋体" w:cs="宋体"/>
          <w:color w:val="000000"/>
        </w:rPr>
        <w:t>。</w:t>
      </w:r>
    </w:p>
    <w:p w14:paraId="00324DD8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黑体" w:eastAsia="黑体"/>
          <w:b w:val="0"/>
          <w:bCs w:val="0"/>
          <w:color w:val="000000"/>
        </w:rPr>
      </w:pPr>
      <w:r>
        <w:rPr>
          <w:rFonts w:hint="eastAsia" w:ascii="黑体" w:eastAsia="黑体"/>
          <w:b w:val="0"/>
          <w:bCs w:val="0"/>
          <w:color w:val="000000"/>
        </w:rPr>
        <w:t>六</w:t>
      </w:r>
      <w:r>
        <w:rPr>
          <w:rFonts w:ascii="黑体" w:eastAsia="黑体"/>
          <w:b w:val="0"/>
          <w:bCs w:val="0"/>
          <w:color w:val="000000"/>
        </w:rPr>
        <w:t>、与国内政府主导制定标准（国家标准、行业标准、地方标准）的协调情况，采用国际标准的先进程度</w:t>
      </w:r>
    </w:p>
    <w:p w14:paraId="6D2CC87A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宋体" w:eastAsia="宋体" w:cs="宋体"/>
          <w:color w:val="000000"/>
        </w:rPr>
      </w:pPr>
      <w:r>
        <w:rPr>
          <w:rFonts w:hint="eastAsia" w:ascii="宋体" w:eastAsia="宋体" w:cs="宋体"/>
          <w:color w:val="000000"/>
        </w:rPr>
        <w:t>本标准主要技术指标</w:t>
      </w:r>
      <w:r>
        <w:rPr>
          <w:rFonts w:hint="eastAsia" w:ascii="宋体" w:eastAsia="宋体" w:cs="宋体"/>
        </w:rPr>
        <w:t>与引用的国家标准、行业标准、地方标准</w:t>
      </w:r>
      <w:r>
        <w:rPr>
          <w:rFonts w:hint="eastAsia" w:cs="宋体"/>
          <w:lang w:eastAsia="zh-CN"/>
        </w:rPr>
        <w:t>相协调</w:t>
      </w:r>
      <w:r>
        <w:rPr>
          <w:rFonts w:hint="eastAsia" w:ascii="宋体" w:eastAsia="宋体" w:cs="宋体"/>
          <w:color w:val="000000"/>
        </w:rPr>
        <w:t>，未采用国际标准。</w:t>
      </w:r>
    </w:p>
    <w:p w14:paraId="2220D014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黑体" w:eastAsia="黑体"/>
          <w:b w:val="0"/>
          <w:bCs w:val="0"/>
          <w:color w:val="000000"/>
        </w:rPr>
      </w:pPr>
      <w:r>
        <w:rPr>
          <w:rFonts w:hint="eastAsia" w:ascii="黑体" w:eastAsia="黑体"/>
          <w:b w:val="0"/>
          <w:bCs w:val="0"/>
        </w:rPr>
        <w:t>七、</w:t>
      </w:r>
      <w:r>
        <w:rPr>
          <w:rFonts w:ascii="黑体" w:eastAsia="黑体"/>
          <w:b w:val="0"/>
          <w:bCs w:val="0"/>
        </w:rPr>
        <w:t>与现行法律、法规、强制性标准的关系</w:t>
      </w:r>
    </w:p>
    <w:p w14:paraId="4360CF73">
      <w:pPr>
        <w:pStyle w:val="11"/>
        <w:spacing w:before="0" w:beforeAutospacing="0" w:after="0" w:afterAutospacing="0" w:line="460" w:lineRule="exact"/>
        <w:ind w:firstLine="480" w:firstLineChars="200"/>
        <w:rPr>
          <w:rFonts w:hint="eastAsia" w:ascii="宋体" w:eastAsia="宋体" w:cs="宋体"/>
          <w:color w:val="4F81BD"/>
        </w:rPr>
      </w:pPr>
      <w:r>
        <w:rPr>
          <w:rFonts w:hint="eastAsia" w:ascii="宋体" w:eastAsia="宋体" w:cs="宋体"/>
        </w:rPr>
        <w:t>本文件与现行法律、法规和强制性标准无冲突。</w:t>
      </w:r>
    </w:p>
    <w:p w14:paraId="612919F7">
      <w:pPr>
        <w:spacing w:line="460" w:lineRule="exact"/>
        <w:ind w:firstLine="480" w:firstLineChars="200"/>
        <w:rPr>
          <w:rFonts w:hint="eastAsia" w:ascii="黑体" w:eastAsia="黑体" w:cs="宋体"/>
          <w:b w:val="0"/>
          <w:bCs w:val="0"/>
          <w:color w:val="000000"/>
          <w:kern w:val="0"/>
          <w:sz w:val="24"/>
        </w:rPr>
      </w:pPr>
      <w:r>
        <w:rPr>
          <w:rFonts w:hint="eastAsia" w:ascii="黑体" w:eastAsia="黑体" w:cs="宋体"/>
          <w:b w:val="0"/>
          <w:bCs w:val="0"/>
          <w:color w:val="000000"/>
          <w:kern w:val="0"/>
          <w:sz w:val="24"/>
        </w:rPr>
        <w:t>八、是否涉及专利（涉及专利的应作出必要专利声明）</w:t>
      </w:r>
    </w:p>
    <w:p w14:paraId="4FE4CC81">
      <w:pPr>
        <w:spacing w:line="460" w:lineRule="exact"/>
        <w:ind w:firstLine="480" w:firstLineChars="200"/>
        <w:rPr>
          <w:rFonts w:hint="eastAsia" w:ascii="宋体" w:eastAsia="宋体" w:cs="宋体"/>
          <w:color w:val="000000"/>
          <w:kern w:val="0"/>
          <w:sz w:val="24"/>
        </w:rPr>
      </w:pPr>
      <w:r>
        <w:rPr>
          <w:rFonts w:hint="eastAsia" w:ascii="宋体" w:cs="宋体"/>
          <w:color w:val="000000"/>
          <w:kern w:val="0"/>
          <w:sz w:val="24"/>
          <w:lang w:eastAsia="zh-CN"/>
        </w:rPr>
        <w:t>本文件</w:t>
      </w:r>
      <w:r>
        <w:rPr>
          <w:rFonts w:hint="eastAsia" w:ascii="宋体" w:eastAsia="宋体" w:cs="宋体"/>
          <w:color w:val="000000"/>
          <w:kern w:val="0"/>
          <w:sz w:val="24"/>
        </w:rPr>
        <w:t>不涉及专利。</w:t>
      </w:r>
    </w:p>
    <w:p w14:paraId="44C92418">
      <w:pPr>
        <w:spacing w:line="460" w:lineRule="exact"/>
        <w:ind w:firstLine="480" w:firstLineChars="200"/>
        <w:rPr>
          <w:rFonts w:hint="eastAsia" w:ascii="黑体" w:eastAsia="黑体" w:cs="宋体"/>
          <w:b w:val="0"/>
          <w:bCs w:val="0"/>
          <w:color w:val="000000"/>
          <w:kern w:val="0"/>
          <w:sz w:val="24"/>
        </w:rPr>
      </w:pPr>
      <w:r>
        <w:rPr>
          <w:rFonts w:hint="eastAsia" w:ascii="黑体" w:eastAsia="黑体" w:cs="宋体"/>
          <w:b w:val="0"/>
          <w:bCs w:val="0"/>
          <w:color w:val="000000"/>
          <w:kern w:val="0"/>
          <w:sz w:val="24"/>
        </w:rPr>
        <w:t>九、重大分歧意见的处理过程</w:t>
      </w:r>
    </w:p>
    <w:p w14:paraId="7551B9CA">
      <w:pPr>
        <w:spacing w:line="460" w:lineRule="exact"/>
        <w:ind w:firstLine="480" w:firstLineChars="200"/>
        <w:rPr>
          <w:rFonts w:hint="eastAsia"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无重大分歧意见。</w:t>
      </w:r>
    </w:p>
    <w:p w14:paraId="34F0760F">
      <w:pPr>
        <w:spacing w:line="460" w:lineRule="exact"/>
        <w:ind w:firstLine="480" w:firstLineChars="200"/>
        <w:rPr>
          <w:rFonts w:hint="eastAsia" w:ascii="黑体" w:eastAsia="黑体"/>
          <w:b w:val="0"/>
          <w:bCs w:val="0"/>
          <w:color w:val="000000"/>
          <w:sz w:val="24"/>
        </w:rPr>
      </w:pPr>
      <w:r>
        <w:rPr>
          <w:rFonts w:hint="eastAsia" w:ascii="黑体" w:eastAsia="黑体"/>
          <w:b w:val="0"/>
          <w:bCs w:val="0"/>
          <w:color w:val="000000"/>
          <w:sz w:val="24"/>
        </w:rPr>
        <w:t>十</w:t>
      </w:r>
      <w:r>
        <w:rPr>
          <w:rFonts w:ascii="黑体" w:eastAsia="黑体"/>
          <w:b w:val="0"/>
          <w:bCs w:val="0"/>
          <w:color w:val="000000"/>
          <w:sz w:val="24"/>
        </w:rPr>
        <w:t>、作为强制性地方标准的依据（推荐性标准无需说明）</w:t>
      </w:r>
    </w:p>
    <w:p w14:paraId="1BB799CC">
      <w:pPr>
        <w:spacing w:line="460" w:lineRule="exact"/>
        <w:ind w:firstLine="480" w:firstLineChars="200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本标准为推荐性标准。</w:t>
      </w:r>
    </w:p>
    <w:p w14:paraId="01E2C965">
      <w:pPr>
        <w:spacing w:line="460" w:lineRule="exact"/>
        <w:ind w:firstLine="480" w:firstLineChars="200"/>
        <w:rPr>
          <w:rFonts w:hint="eastAsia" w:ascii="黑体" w:eastAsia="黑体"/>
          <w:b w:val="0"/>
          <w:bCs w:val="0"/>
          <w:color w:val="000000"/>
          <w:sz w:val="24"/>
        </w:rPr>
      </w:pPr>
      <w:r>
        <w:rPr>
          <w:rFonts w:ascii="黑体" w:eastAsia="黑体"/>
          <w:b w:val="0"/>
          <w:bCs w:val="0"/>
          <w:color w:val="000000"/>
          <w:sz w:val="24"/>
        </w:rPr>
        <w:t>十一</w:t>
      </w:r>
      <w:r>
        <w:rPr>
          <w:rFonts w:hint="eastAsia" w:ascii="黑体" w:eastAsia="黑体"/>
          <w:b w:val="0"/>
          <w:bCs w:val="0"/>
          <w:color w:val="000000"/>
          <w:sz w:val="24"/>
        </w:rPr>
        <w:t>、代替、废止有关地方标准的建议</w:t>
      </w:r>
    </w:p>
    <w:p w14:paraId="18D7D82F">
      <w:pPr>
        <w:spacing w:line="460" w:lineRule="exact"/>
        <w:ind w:firstLine="480" w:firstLineChars="200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无代替废止建议。</w:t>
      </w:r>
    </w:p>
    <w:p w14:paraId="79D87DD5">
      <w:pPr>
        <w:spacing w:line="460" w:lineRule="exact"/>
        <w:ind w:firstLine="480" w:firstLineChars="200"/>
        <w:rPr>
          <w:rFonts w:hint="eastAsia" w:ascii="黑体" w:eastAsia="黑体"/>
          <w:b w:val="0"/>
          <w:bCs w:val="0"/>
          <w:sz w:val="24"/>
        </w:rPr>
      </w:pPr>
      <w:r>
        <w:rPr>
          <w:rFonts w:hint="eastAsia" w:ascii="黑体" w:eastAsia="黑体"/>
          <w:b w:val="0"/>
          <w:bCs w:val="0"/>
          <w:sz w:val="24"/>
        </w:rPr>
        <w:t>十二、标准实施的计划、方案</w:t>
      </w:r>
    </w:p>
    <w:p w14:paraId="05D46617">
      <w:pPr>
        <w:tabs>
          <w:tab w:val="left" w:pos="404"/>
        </w:tabs>
        <w:adjustRightInd w:val="0"/>
        <w:spacing w:line="460" w:lineRule="exact"/>
        <w:ind w:firstLine="480" w:firstLineChars="200"/>
        <w:jc w:val="left"/>
        <w:textAlignment w:val="baseline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本文件发布实施后：</w:t>
      </w:r>
    </w:p>
    <w:p w14:paraId="292BFE24">
      <w:pPr>
        <w:adjustRightInd w:val="0"/>
        <w:spacing w:line="460" w:lineRule="exact"/>
        <w:ind w:firstLine="480" w:firstLineChars="200"/>
        <w:jc w:val="left"/>
        <w:textAlignment w:val="baseline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1.加强标准的业务培训和技术指导，采用“高山流水”敬酒民俗礼仪的经营者应按照此标准要求进行，确保服务品质。</w:t>
      </w:r>
    </w:p>
    <w:p w14:paraId="6F683719">
      <w:pPr>
        <w:adjustRightInd w:val="0"/>
        <w:spacing w:line="460" w:lineRule="exact"/>
        <w:ind w:firstLine="480" w:firstLineChars="200"/>
        <w:jc w:val="left"/>
        <w:textAlignment w:val="baseline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2.加大宣传力度，通过有关媒体发布、公告标准信息，扩大影响。</w:t>
      </w:r>
    </w:p>
    <w:p w14:paraId="35B67F16">
      <w:pPr>
        <w:spacing w:line="460" w:lineRule="exact"/>
        <w:ind w:firstLine="480" w:firstLineChars="200"/>
        <w:rPr>
          <w:rFonts w:hint="eastAsia" w:ascii="宋体" w:eastAsia="宋体" w:cs="宋体"/>
          <w:color w:val="4F81BD"/>
          <w:sz w:val="24"/>
        </w:rPr>
      </w:pPr>
      <w:r>
        <w:rPr>
          <w:rFonts w:hint="eastAsia" w:ascii="宋体" w:eastAsia="宋体" w:cs="宋体"/>
          <w:sz w:val="24"/>
        </w:rPr>
        <w:t>3.在实施标准过程中对所发现的问题应及时反馈，以利于本标准的修订和完善。</w:t>
      </w:r>
    </w:p>
    <w:p w14:paraId="5991D4E0">
      <w:pPr>
        <w:spacing w:line="460" w:lineRule="exact"/>
        <w:ind w:firstLine="480" w:firstLineChars="200"/>
        <w:rPr>
          <w:rFonts w:hint="eastAsia" w:ascii="黑体" w:eastAsia="黑体"/>
          <w:b w:val="0"/>
          <w:bCs w:val="0"/>
          <w:sz w:val="24"/>
        </w:rPr>
      </w:pPr>
      <w:r>
        <w:rPr>
          <w:rFonts w:hint="eastAsia" w:ascii="黑体" w:eastAsia="黑体"/>
          <w:b w:val="0"/>
          <w:bCs w:val="0"/>
          <w:sz w:val="24"/>
        </w:rPr>
        <w:t>十三、标准解释、归口管理以及获取意见建议的联系方式（应保证长期稳定）</w:t>
      </w:r>
    </w:p>
    <w:p w14:paraId="66F4D8E3">
      <w:pPr>
        <w:spacing w:line="46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标准解释由标准起草单位黔东南民族职业技术学院负责；归口管理为黔东南州文体广电旅游局；获取意见建议的联系方式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，联系人：</w:t>
      </w:r>
      <w:r>
        <w:rPr>
          <w:rFonts w:hint="eastAsia" w:asciiTheme="minorEastAsia" w:hAnsiTheme="minorEastAsia" w:eastAsiaTheme="minorEastAsia" w:cstheme="minorEastAsia"/>
          <w:i w:val="0"/>
          <w:color w:val="000000"/>
          <w:sz w:val="24"/>
          <w:szCs w:val="24"/>
          <w:u w:val="none"/>
          <w:lang w:eastAsia="zh-CN"/>
        </w:rPr>
        <w:t>蒋友财，电话：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4"/>
          <w:szCs w:val="24"/>
          <w:u w:val="none"/>
          <w:lang w:val="en-US" w:eastAsia="zh-CN"/>
        </w:rPr>
        <w:t>0855-8585052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 w14:paraId="6A5EACBC">
      <w:pPr>
        <w:spacing w:line="460" w:lineRule="exact"/>
        <w:ind w:firstLine="480" w:firstLineChars="200"/>
        <w:rPr>
          <w:rFonts w:hint="eastAsia" w:ascii="黑体" w:eastAsia="黑体"/>
          <w:b w:val="0"/>
          <w:bCs w:val="0"/>
          <w:sz w:val="24"/>
        </w:rPr>
      </w:pPr>
      <w:r>
        <w:rPr>
          <w:rFonts w:hint="eastAsia" w:ascii="黑体" w:eastAsia="黑体"/>
          <w:b w:val="0"/>
          <w:bCs w:val="0"/>
          <w:sz w:val="24"/>
        </w:rPr>
        <w:t>十四</w:t>
      </w:r>
      <w:r>
        <w:rPr>
          <w:rFonts w:ascii="黑体" w:eastAsia="黑体"/>
          <w:b w:val="0"/>
          <w:bCs w:val="0"/>
          <w:sz w:val="24"/>
        </w:rPr>
        <w:t>、其它应说明的事项。</w:t>
      </w:r>
    </w:p>
    <w:p w14:paraId="5FBFDDCF">
      <w:pPr>
        <w:spacing w:line="460" w:lineRule="exact"/>
        <w:ind w:firstLine="480" w:firstLineChars="200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无其他说明事项。</w:t>
      </w:r>
    </w:p>
    <w:p w14:paraId="7A0CB2CE">
      <w:pPr>
        <w:pStyle w:val="11"/>
        <w:spacing w:before="0" w:beforeAutospacing="0" w:after="0" w:afterAutospacing="0" w:line="460" w:lineRule="exact"/>
        <w:jc w:val="right"/>
        <w:rPr>
          <w:rFonts w:hint="eastAsia" w:ascii="宋体" w:eastAsia="宋体" w:cs="宋体"/>
        </w:rPr>
      </w:pPr>
    </w:p>
    <w:p w14:paraId="0A220807">
      <w:pPr>
        <w:pStyle w:val="11"/>
        <w:spacing w:before="0" w:beforeAutospacing="0" w:after="0" w:afterAutospacing="0" w:line="460" w:lineRule="exact"/>
        <w:jc w:val="center"/>
        <w:rPr>
          <w:rFonts w:hint="eastAsia" w:ascii="宋体" w:eastAsia="宋体" w:cs="宋体"/>
        </w:rPr>
      </w:pPr>
      <w:r>
        <w:rPr>
          <w:rFonts w:hint="eastAsia" w:cs="宋体"/>
          <w:lang w:val="en-US" w:eastAsia="zh-CN"/>
        </w:rPr>
        <w:t xml:space="preserve">                                       </w:t>
      </w:r>
      <w:r>
        <w:rPr>
          <w:rFonts w:hint="eastAsia" w:ascii="宋体" w:eastAsia="宋体" w:cs="宋体"/>
        </w:rPr>
        <w:t>黔东南州地方标准</w:t>
      </w:r>
    </w:p>
    <w:p w14:paraId="2B08DC53">
      <w:pPr>
        <w:pStyle w:val="11"/>
        <w:spacing w:before="0" w:beforeAutospacing="0" w:after="0" w:afterAutospacing="0" w:line="460" w:lineRule="exact"/>
        <w:jc w:val="right"/>
        <w:rPr>
          <w:rFonts w:hint="eastAsia" w:ascii="宋体" w:eastAsia="宋体" w:cs="宋体"/>
        </w:rPr>
      </w:pPr>
      <w:r>
        <w:rPr>
          <w:rFonts w:hint="eastAsia" w:ascii="宋体" w:eastAsia="宋体" w:cs="宋体"/>
        </w:rPr>
        <w:t>《“高山流水”敬酒民俗礼仪规范》编</w:t>
      </w:r>
      <w:r>
        <w:rPr>
          <w:rFonts w:hint="eastAsia" w:cs="宋体"/>
          <w:lang w:eastAsia="zh-CN"/>
        </w:rPr>
        <w:t>写</w:t>
      </w:r>
      <w:r>
        <w:rPr>
          <w:rFonts w:hint="eastAsia" w:ascii="宋体" w:eastAsia="宋体" w:cs="宋体"/>
        </w:rPr>
        <w:t>组</w:t>
      </w:r>
    </w:p>
    <w:p w14:paraId="05A847E0">
      <w:pPr>
        <w:pStyle w:val="11"/>
        <w:spacing w:before="0" w:beforeAutospacing="0" w:after="0" w:afterAutospacing="0" w:line="460" w:lineRule="exact"/>
        <w:jc w:val="center"/>
        <w:rPr>
          <w:rFonts w:hint="eastAsia" w:ascii="宋体" w:eastAsia="宋体" w:cs="宋体"/>
        </w:rPr>
      </w:pPr>
      <w:r>
        <w:rPr>
          <w:rFonts w:hint="eastAsia" w:cs="宋体"/>
          <w:lang w:val="en-US" w:eastAsia="zh-CN"/>
        </w:rPr>
        <w:t xml:space="preserve">                                     </w:t>
      </w:r>
      <w:r>
        <w:rPr>
          <w:rFonts w:ascii="宋体" w:eastAsia="宋体" w:cs="宋体"/>
        </w:rPr>
        <w:t>202</w:t>
      </w:r>
      <w:r>
        <w:rPr>
          <w:rFonts w:hint="eastAsia" w:ascii="宋体" w:eastAsia="宋体" w:cs="宋体"/>
        </w:rPr>
        <w:t>5年4月</w:t>
      </w:r>
    </w:p>
    <w:p w14:paraId="27036A6B">
      <w:pPr>
        <w:spacing w:line="460" w:lineRule="exact"/>
        <w:rPr>
          <w:rFonts w:hint="eastAsia" w:ascii="黑体" w:eastAsia="黑体"/>
          <w:b/>
          <w:bCs/>
          <w:sz w:val="30"/>
          <w:szCs w:val="30"/>
        </w:rPr>
      </w:pPr>
    </w:p>
    <w:p w14:paraId="7544721C">
      <w:pPr>
        <w:spacing w:line="460" w:lineRule="exact"/>
        <w:jc w:val="center"/>
        <w:rPr>
          <w:rFonts w:hint="eastAsia" w:ascii="黑体" w:eastAsia="黑体"/>
          <w:b/>
          <w:bCs/>
          <w:sz w:val="30"/>
          <w:szCs w:val="30"/>
        </w:rPr>
      </w:pPr>
    </w:p>
    <w:p w14:paraId="32B00D1E">
      <w:pPr>
        <w:spacing w:line="460" w:lineRule="exact"/>
        <w:rPr>
          <w:rFonts w:hint="eastAsia" w:ascii="黑体" w:eastAsia="黑体"/>
          <w:b/>
          <w:bCs/>
          <w:sz w:val="30"/>
          <w:szCs w:val="30"/>
        </w:rPr>
      </w:pPr>
    </w:p>
    <w:p w14:paraId="24E4D5B2">
      <w:pPr>
        <w:pStyle w:val="2"/>
      </w:pPr>
    </w:p>
    <w:p w14:paraId="3C61CB13"/>
    <w:p w14:paraId="5C56117A">
      <w:pPr>
        <w:spacing w:line="460" w:lineRule="exact"/>
        <w:rPr>
          <w:rFonts w:hint="eastAsia" w:ascii="黑体" w:eastAsia="黑体"/>
          <w:b/>
          <w:bCs/>
          <w:sz w:val="30"/>
          <w:szCs w:val="30"/>
        </w:rPr>
      </w:pPr>
    </w:p>
    <w:p w14:paraId="4209D712">
      <w:pPr>
        <w:spacing w:line="460" w:lineRule="exact"/>
        <w:jc w:val="center"/>
        <w:rPr>
          <w:rFonts w:hint="eastAsia" w:ascii="黑体" w:eastAsia="黑体"/>
          <w:b w:val="0"/>
          <w:bCs w:val="0"/>
          <w:sz w:val="30"/>
          <w:szCs w:val="30"/>
        </w:rPr>
      </w:pPr>
      <w:r>
        <w:rPr>
          <w:rFonts w:ascii="黑体" w:eastAsia="黑体"/>
          <w:b w:val="0"/>
          <w:bCs w:val="0"/>
          <w:sz w:val="30"/>
          <w:szCs w:val="30"/>
        </w:rPr>
        <w:t>参考文献</w:t>
      </w:r>
    </w:p>
    <w:p w14:paraId="32F6228C">
      <w:pPr>
        <w:spacing w:line="360" w:lineRule="auto"/>
        <w:ind w:firstLine="480" w:firstLineChars="200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[1]吴雨函. 西江苗寨“高山流水”敬酒礼研究[D]. 贵州民族大学.</w:t>
      </w:r>
    </w:p>
    <w:p w14:paraId="5A0D3F1B">
      <w:pPr>
        <w:spacing w:line="460" w:lineRule="exact"/>
        <w:ind w:firstLine="480" w:firstLineChars="200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[</w:t>
      </w:r>
      <w:r>
        <w:rPr>
          <w:rFonts w:ascii="宋体" w:eastAsia="宋体" w:cs="宋体"/>
          <w:sz w:val="24"/>
        </w:rPr>
        <w:t>2</w:t>
      </w:r>
      <w:r>
        <w:rPr>
          <w:rFonts w:hint="eastAsia" w:ascii="宋体" w:eastAsia="宋体" w:cs="宋体"/>
          <w:sz w:val="24"/>
        </w:rPr>
        <w:t>]梁子茵,殷红梅,李瑞,等. 旅游影响下的传统饮食仪式地方性识别与建构——以贵州西江苗寨敬酒仪式为例 [J]. 美食研究, 2021, 38 (02): 14-22.</w:t>
      </w:r>
    </w:p>
    <w:p w14:paraId="1A9B275B">
      <w:pPr>
        <w:spacing w:line="460" w:lineRule="exact"/>
        <w:ind w:firstLine="480" w:firstLineChars="200"/>
        <w:rPr>
          <w:rFonts w:hint="eastAsia" w:ascii="宋体" w:eastAsia="宋体" w:cs="宋体"/>
          <w:sz w:val="24"/>
        </w:rPr>
      </w:pPr>
      <w:r>
        <w:rPr>
          <w:rFonts w:hint="eastAsia" w:ascii="宋体" w:eastAsia="宋体" w:cs="宋体"/>
          <w:sz w:val="24"/>
        </w:rPr>
        <w:t>[</w:t>
      </w:r>
      <w:r>
        <w:rPr>
          <w:rFonts w:ascii="宋体" w:eastAsia="宋体" w:cs="宋体"/>
          <w:sz w:val="24"/>
        </w:rPr>
        <w:t>3</w:t>
      </w:r>
      <w:r>
        <w:rPr>
          <w:rFonts w:hint="eastAsia" w:ascii="宋体" w:eastAsia="宋体" w:cs="宋体"/>
          <w:sz w:val="24"/>
        </w:rPr>
        <w:t>]李瑞,郑超,银松,等. 民族村寨旅游者主客互动仪式情感体验过程及其唤醒机制研究:以“高山流水”敬酒仪式为例 [J]. 人文地理, 2022, 37 (02): 94-102.</w:t>
      </w:r>
    </w:p>
    <w:p w14:paraId="1217E419">
      <w:pPr>
        <w:pStyle w:val="11"/>
        <w:spacing w:before="0" w:beforeAutospacing="0" w:after="0" w:afterAutospacing="0" w:line="460" w:lineRule="exact"/>
        <w:ind w:firstLine="7008" w:firstLineChars="2920"/>
        <w:rPr>
          <w:rFonts w:hint="eastAsia" w:ascii="宋体" w:eastAsia="宋体" w:cs="宋体"/>
        </w:rPr>
      </w:pPr>
    </w:p>
    <w:sectPr>
      <w:footerReference r:id="rId3" w:type="default"/>
      <w:pgSz w:w="11906" w:h="16838"/>
      <w:pgMar w:top="1701" w:right="1474" w:bottom="1417" w:left="158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altName w:val="仿宋"/>
    <w:panose1 w:val="00020600040101000101"/>
    <w:charset w:val="86"/>
    <w:family w:val="auto"/>
    <w:pitch w:val="default"/>
    <w:sig w:usb0="00000000" w:usb1="00000000" w:usb2="00000016" w:usb3="00000000" w:csb0="0004009F" w:csb1="00000000"/>
  </w:font>
  <w:font w:name="荣耀黑体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AD0DF">
    <w:pPr>
      <w:pStyle w:val="9"/>
      <w:jc w:val="center"/>
      <w:rPr>
        <w:rFonts w:hint="eastAsia" w:ascii="楷体" w:eastAsia="楷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07950" cy="46037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102" cy="460502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 w14:paraId="7489EB6F">
                          <w:pPr>
                            <w:pStyle w:val="9"/>
                            <w:jc w:val="center"/>
                            <w:rPr>
                              <w:rFonts w:hint="eastAsia" w:ascii="楷体" w:eastAsia="楷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 w14:paraId="0934FEA7">
                          <w:pPr>
                            <w:rPr>
                              <w:rFonts w:hint="eastAsia" w:ascii="楷体" w:eastAsia="楷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36.25pt;width:8.5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Sp2vPVAAAAAwEAAA8AAAAAAAAAAQAgAAAAIgAAAGRycy9kb3du&#10;cmV2LnhtbFBLAQIUABQAAAAIAIdO4kCxDii9AgIAAPQDAAAOAAAAAAAAAAEAIAAAACQBAABkcnMv&#10;ZTJvRG9jLnhtbFBLBQYAAAAABgAGAFkBAACYBQAAAAA=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 w14:paraId="7489EB6F">
                    <w:pPr>
                      <w:pStyle w:val="9"/>
                      <w:jc w:val="center"/>
                      <w:rPr>
                        <w:rFonts w:hint="eastAsia" w:ascii="楷体" w:eastAsia="楷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  <w:p w14:paraId="0934FEA7">
                    <w:pPr>
                      <w:rPr>
                        <w:rFonts w:hint="eastAsia" w:ascii="楷体" w:eastAsia="楷体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F521D75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compatSetting w:name="compatibilityMode" w:uri="http://schemas.microsoft.com/office/word" w:val="14"/>
  </w:compat>
  <w:docVars>
    <w:docVar w:name="commondata" w:val="eyJoZGlkIjoiMmMwZjIzZGEyMWNlN2MyZTE1Y2Y0OGY2ZjBlZjY1MzkifQ=="/>
    <w:docVar w:name="KSO_WPS_MARK_KEY" w:val="556b53f3-350a-4ca0-8393-5ee3442c8822"/>
  </w:docVars>
  <w:rsids>
    <w:rsidRoot w:val="00000000"/>
    <w:rsid w:val="6BF3C7BD"/>
    <w:rsid w:val="6CFD807E"/>
    <w:rsid w:val="77E956D2"/>
    <w:rsid w:val="7B385809"/>
    <w:rsid w:val="F133A0DC"/>
    <w:rsid w:val="F9DB4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6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Luxi Sans" w:hAnsi="Luxi Sans" w:eastAsia="荣耀黑体"/>
      <w:b/>
      <w:sz w:val="32"/>
    </w:rPr>
  </w:style>
  <w:style w:type="paragraph" w:styleId="7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3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200" w:firstLineChars="200"/>
    </w:pPr>
  </w:style>
  <w:style w:type="paragraph" w:styleId="3">
    <w:name w:val="Body Text Indent"/>
    <w:basedOn w:val="1"/>
    <w:next w:val="4"/>
    <w:qFormat/>
    <w:uiPriority w:val="0"/>
    <w:pPr>
      <w:ind w:left="200" w:leftChars="200"/>
    </w:pPr>
  </w:style>
  <w:style w:type="paragraph" w:styleId="4">
    <w:name w:val="Balloon Text"/>
    <w:basedOn w:val="1"/>
    <w:next w:val="1"/>
    <w:qFormat/>
    <w:uiPriority w:val="0"/>
    <w:rPr>
      <w:sz w:val="18"/>
      <w:szCs w:val="18"/>
    </w:rPr>
  </w:style>
  <w:style w:type="paragraph" w:styleId="8">
    <w:name w:val="Date"/>
    <w:basedOn w:val="1"/>
    <w:next w:val="1"/>
    <w:qFormat/>
    <w:uiPriority w:val="0"/>
    <w:pPr>
      <w:ind w:left="2500" w:leftChars="25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paragraph" w:customStyle="1" w:styleId="15">
    <w:name w:val="List Paragraph"/>
    <w:basedOn w:val="1"/>
    <w:qFormat/>
    <w:uiPriority w:val="0"/>
    <w:pPr>
      <w:ind w:firstLine="200" w:firstLineChars="200"/>
    </w:pPr>
  </w:style>
  <w:style w:type="paragraph" w:customStyle="1" w:styleId="16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段"/>
    <w:basedOn w:val="1"/>
    <w:qFormat/>
    <w:uiPriority w:val="0"/>
    <w:pPr>
      <w:widowControl/>
      <w:autoSpaceDE w:val="0"/>
      <w:autoSpaceDN w:val="0"/>
      <w:ind w:firstLine="200" w:firstLineChars="200"/>
    </w:pPr>
    <w:rPr>
      <w:rFonts w:ascii="宋体"/>
      <w:kern w:val="0"/>
      <w:szCs w:val="21"/>
    </w:rPr>
  </w:style>
  <w:style w:type="paragraph" w:customStyle="1" w:styleId="18">
    <w:name w:val="Revision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8</Pages>
  <Words>5544</Words>
  <Characters>5876</Characters>
  <Lines>268</Lines>
  <Paragraphs>148</Paragraphs>
  <TotalTime>1</TotalTime>
  <ScaleCrop>false</ScaleCrop>
  <LinksUpToDate>false</LinksUpToDate>
  <CharactersWithSpaces>5989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2024-09-04T00:54:00Z</dcterms:created>
  <dc:creator>User</dc:creator>
  <cp:lastModifiedBy>贾肥猫</cp:lastModifiedBy>
  <cp:lastPrinted>2024-08-16T10:27:00Z</cp:lastPrinted>
  <dcterms:modified xsi:type="dcterms:W3CDTF">2025-05-08T08:58:48Z</dcterms:modified>
  <cp:revision>356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509044F63C4347CCB0FA94F5959369FC_13</vt:lpwstr>
  </property>
  <property fmtid="{D5CDD505-2E9C-101B-9397-08002B2CF9AE}" pid="4" name="KSOTemplateDocerSaveRecord">
    <vt:lpwstr>eyJoZGlkIjoiODk3Y2UyNTc1NWMyYzEyYjZlNDEwYmY5MTI5YjUyMjQiLCJ1c2VySWQiOiI5Mzc5NTgxNDEifQ==</vt:lpwstr>
  </property>
</Properties>
</file>